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BA" w:rsidRPr="001D7A19" w:rsidRDefault="00A73DBA" w:rsidP="00A73DBA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A73DBA" w:rsidRPr="001D7A19" w:rsidRDefault="00A73DBA" w:rsidP="00A73DBA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A73DBA" w:rsidRDefault="00A73DBA" w:rsidP="00A73DBA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795/2017</w:t>
      </w:r>
    </w:p>
    <w:p w:rsidR="00A73DBA" w:rsidRPr="001D7A19" w:rsidRDefault="00A73DBA" w:rsidP="00A73DBA">
      <w:pPr>
        <w:jc w:val="center"/>
        <w:rPr>
          <w:rFonts w:ascii="Arial CE" w:hAnsi="Arial CE" w:cs="Arial"/>
          <w:b/>
          <w:sz w:val="22"/>
          <w:szCs w:val="22"/>
        </w:rPr>
      </w:pPr>
    </w:p>
    <w:p w:rsidR="00A73DBA" w:rsidRPr="001D7A19" w:rsidRDefault="00A73DBA" w:rsidP="00A73DBA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A73DBA" w:rsidRPr="00E47395" w:rsidRDefault="00A73DBA" w:rsidP="00A73DBA">
      <w:pPr>
        <w:jc w:val="center"/>
        <w:rPr>
          <w:rFonts w:ascii="Arial CE" w:hAnsi="Arial CE" w:cs="Arial"/>
          <w:b/>
          <w:highlight w:val="yellow"/>
        </w:rPr>
      </w:pPr>
    </w:p>
    <w:p w:rsidR="00A73DBA" w:rsidRDefault="00A73DBA" w:rsidP="00A73DBA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46308B">
        <w:rPr>
          <w:rFonts w:ascii="Arial CE" w:hAnsi="Arial CE" w:cs="Arial"/>
          <w:b/>
          <w:sz w:val="28"/>
          <w:szCs w:val="28"/>
        </w:rPr>
        <w:t xml:space="preserve">Jílovský potok v Děčíně, ulice Na Hrázi - oprava opevnění v </w:t>
      </w:r>
      <w:proofErr w:type="gramStart"/>
      <w:r w:rsidRPr="0046308B">
        <w:rPr>
          <w:rFonts w:ascii="Arial CE" w:hAnsi="Arial CE" w:cs="Arial"/>
          <w:b/>
          <w:sz w:val="28"/>
          <w:szCs w:val="28"/>
        </w:rPr>
        <w:t>ř.km 2</w:t>
      </w:r>
      <w:proofErr w:type="gramEnd"/>
      <w:r w:rsidRPr="0046308B">
        <w:rPr>
          <w:rFonts w:ascii="Arial CE" w:hAnsi="Arial CE" w:cs="Arial"/>
          <w:b/>
          <w:sz w:val="28"/>
          <w:szCs w:val="28"/>
        </w:rPr>
        <w:t>,953 - 3,530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A73DBA" w:rsidRPr="001D7A19" w:rsidRDefault="00A73DBA" w:rsidP="00A73DBA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A73DBA" w:rsidRPr="001D7A19" w:rsidRDefault="00A73DB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73DBA" w:rsidRPr="001D7A19" w:rsidRDefault="00A73DB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73DBA" w:rsidRPr="001D7A19" w:rsidRDefault="00A73DB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73DBA" w:rsidRPr="001D7A19" w:rsidRDefault="00A73DB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73DBA" w:rsidRPr="001D7A19" w:rsidRDefault="00A73DB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73DBA" w:rsidRPr="001D7A19" w:rsidRDefault="00A73DB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3DBA" w:rsidRDefault="00A73DB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3DBA" w:rsidRPr="001D7A19" w:rsidRDefault="00A73DB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73DBA" w:rsidRDefault="00A73DB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73DBA" w:rsidRDefault="00A73DB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73DBA" w:rsidRDefault="00A73DB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73DBA" w:rsidRDefault="00A73DB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73DBA" w:rsidRPr="001D7A19" w:rsidRDefault="00A73DB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73DBA" w:rsidRDefault="00A73DB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3DBA" w:rsidRDefault="00A73DB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3DBA" w:rsidRPr="001D7A19" w:rsidRDefault="00A73DB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73DBA" w:rsidRDefault="00A73DB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73DBA" w:rsidRDefault="00A73DB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3DBA" w:rsidRDefault="00A73DB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3DBA" w:rsidRDefault="00A73DB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73DBA" w:rsidRPr="001D7A19" w:rsidRDefault="00A73DB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73DBA" w:rsidRDefault="00A73DB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3DBA" w:rsidRDefault="00A73DB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73DBA" w:rsidRDefault="00A73DB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73DBA" w:rsidRPr="001D7A19" w:rsidRDefault="00A73DB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73DBA" w:rsidRDefault="00A73DB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73DBA" w:rsidRDefault="00A73DB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73DBA" w:rsidRDefault="00A73DB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46308B" w:rsidRPr="001D7A19" w:rsidRDefault="0046308B" w:rsidP="0046308B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46308B" w:rsidRPr="00C81553" w:rsidRDefault="0046308B" w:rsidP="0046308B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Pr="00C81553">
        <w:rPr>
          <w:rFonts w:ascii="Arial CE" w:hAnsi="Arial CE" w:cs="Arial"/>
          <w:b/>
          <w:sz w:val="22"/>
          <w:szCs w:val="22"/>
        </w:rPr>
        <w:tab/>
      </w:r>
    </w:p>
    <w:p w:rsidR="0046308B" w:rsidRPr="00C81553" w:rsidRDefault="0046308B" w:rsidP="0046308B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mobil: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46308B" w:rsidRPr="00C81553" w:rsidRDefault="0046308B" w:rsidP="0046308B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telefon: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46308B" w:rsidRDefault="0046308B" w:rsidP="0046308B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e-mail: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46308B" w:rsidRPr="005E1501" w:rsidRDefault="0046308B" w:rsidP="0046308B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46308B" w:rsidRPr="001D7A19" w:rsidRDefault="0046308B" w:rsidP="0046308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6308B" w:rsidRPr="001D7A19" w:rsidRDefault="0046308B" w:rsidP="0046308B">
      <w:pPr>
        <w:jc w:val="both"/>
        <w:rPr>
          <w:rFonts w:ascii="Arial CE" w:hAnsi="Arial CE" w:cs="Arial"/>
          <w:sz w:val="22"/>
          <w:szCs w:val="22"/>
        </w:rPr>
      </w:pPr>
    </w:p>
    <w:p w:rsidR="0046308B" w:rsidRPr="001D7A19" w:rsidRDefault="0046308B" w:rsidP="0046308B">
      <w:pPr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C,</w:t>
      </w:r>
      <w:r w:rsidRPr="001D7A19">
        <w:rPr>
          <w:rFonts w:ascii="Arial CE" w:hAnsi="Arial CE" w:cs="Arial"/>
          <w:sz w:val="22"/>
          <w:szCs w:val="22"/>
        </w:rPr>
        <w:t xml:space="preserve"> vložce </w:t>
      </w:r>
      <w:proofErr w:type="gramStart"/>
      <w:r w:rsidRPr="001D7A19">
        <w:rPr>
          <w:rFonts w:ascii="Arial CE" w:hAnsi="Arial CE" w:cs="Arial"/>
          <w:sz w:val="22"/>
          <w:szCs w:val="22"/>
        </w:rPr>
        <w:t>č.</w:t>
      </w:r>
      <w:r>
        <w:rPr>
          <w:rFonts w:ascii="Arial CE" w:hAnsi="Arial CE" w:cs="Arial"/>
          <w:sz w:val="22"/>
          <w:szCs w:val="22"/>
        </w:rPr>
        <w:t>105510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46308B" w:rsidRPr="001D7A19" w:rsidRDefault="0046308B" w:rsidP="0046308B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B327D4" w:rsidRDefault="00B327D4" w:rsidP="00B327D4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bookmarkStart w:id="0" w:name="_GoBack"/>
      <w:bookmarkEnd w:id="0"/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5145E1" w:rsidRDefault="005145E1" w:rsidP="005145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 w:rsidR="007753D3">
        <w:rPr>
          <w:rFonts w:ascii="Arial CE" w:hAnsi="Arial CE" w:cs="Arial"/>
          <w:b/>
          <w:sz w:val="22"/>
          <w:szCs w:val="22"/>
        </w:rPr>
        <w:t xml:space="preserve">geodetického zaměření, </w:t>
      </w:r>
      <w:r w:rsidRPr="001F65FE">
        <w:rPr>
          <w:rFonts w:ascii="Arial CE" w:hAnsi="Arial CE" w:cs="Arial"/>
          <w:b/>
          <w:sz w:val="22"/>
          <w:szCs w:val="22"/>
        </w:rPr>
        <w:t>návrhu havarijního plánu (dále jen HP)</w:t>
      </w:r>
      <w:r w:rsidR="0046308B">
        <w:rPr>
          <w:rFonts w:ascii="Arial CE" w:hAnsi="Arial CE" w:cs="Arial"/>
          <w:b/>
          <w:sz w:val="22"/>
          <w:szCs w:val="22"/>
        </w:rPr>
        <w:t xml:space="preserve"> a povodňového plánu</w:t>
      </w:r>
      <w:r w:rsidRPr="001F65FE">
        <w:rPr>
          <w:rFonts w:ascii="Arial CE" w:hAnsi="Arial CE" w:cs="Arial"/>
          <w:b/>
          <w:sz w:val="22"/>
          <w:szCs w:val="22"/>
        </w:rPr>
        <w:t>, vyhodnocení potřeby zajištění koordinátora BOZP v přípravě a realizaci stavby nebo zpracování plánu BOZP</w:t>
      </w:r>
    </w:p>
    <w:p w:rsidR="0046308B" w:rsidRDefault="0046308B" w:rsidP="0046308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E4766" w:rsidRDefault="002E4766" w:rsidP="0046308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E4766">
        <w:rPr>
          <w:rFonts w:ascii="Arial CE" w:hAnsi="Arial CE" w:cs="Arial"/>
          <w:sz w:val="22"/>
          <w:szCs w:val="22"/>
        </w:rPr>
        <w:t>Součásti mimo jiné bude</w:t>
      </w:r>
      <w:r>
        <w:rPr>
          <w:rFonts w:ascii="Arial CE" w:hAnsi="Arial CE" w:cs="Arial"/>
          <w:sz w:val="22"/>
          <w:szCs w:val="22"/>
        </w:rPr>
        <w:t>:</w:t>
      </w:r>
    </w:p>
    <w:p w:rsidR="002E4766" w:rsidRPr="002E4766" w:rsidRDefault="002E4766" w:rsidP="0046308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6308B" w:rsidRPr="0046308B" w:rsidRDefault="0046308B" w:rsidP="0046308B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</w:t>
      </w:r>
      <w:r w:rsidRPr="0046308B">
        <w:rPr>
          <w:rFonts w:ascii="Arial CE" w:hAnsi="Arial CE" w:cs="Arial"/>
          <w:sz w:val="22"/>
          <w:szCs w:val="22"/>
        </w:rPr>
        <w:t>asportizace</w:t>
      </w:r>
    </w:p>
    <w:p w:rsidR="004A574D" w:rsidRPr="008621D0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D1AD4" w:rsidRPr="001F65FE" w:rsidRDefault="004D1AD4" w:rsidP="004D1AD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 w:cs="Arial"/>
          <w:b/>
          <w:sz w:val="22"/>
          <w:szCs w:val="22"/>
        </w:rPr>
        <w:t xml:space="preserve">geodetického zaměření, průzkumu, </w:t>
      </w:r>
      <w:r w:rsidRPr="001F65FE">
        <w:rPr>
          <w:rFonts w:ascii="Arial CE" w:hAnsi="Arial CE" w:cs="Arial"/>
          <w:b/>
          <w:sz w:val="22"/>
          <w:szCs w:val="22"/>
        </w:rPr>
        <w:t xml:space="preserve">návrhu havarijního plánu (dále jen HP), </w:t>
      </w:r>
      <w:r w:rsidRPr="001F65FE">
        <w:rPr>
          <w:rFonts w:ascii="Arial CE" w:hAnsi="Arial CE" w:cs="Arial"/>
          <w:b/>
          <w:sz w:val="22"/>
          <w:szCs w:val="22"/>
        </w:rPr>
        <w:lastRenderedPageBreak/>
        <w:t>vyhodnocení potřeby zajištění koordinátora BOZP v přípravě a realizaci stavby nebo zpracování plánu BOZP</w:t>
      </w:r>
    </w:p>
    <w:p w:rsidR="00B327D4" w:rsidRDefault="00B327D4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7F2D66" w:rsidRPr="0038627B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7F2D66" w:rsidRPr="007F2D66" w:rsidRDefault="007F2D66" w:rsidP="007F2D6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7F2D6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F2D66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7F2D66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7F2D66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7F2D66">
        <w:rPr>
          <w:rFonts w:ascii="Arial CE" w:hAnsi="Arial CE" w:cs="Arial"/>
          <w:sz w:val="22"/>
          <w:szCs w:val="22"/>
        </w:rPr>
        <w:t>Bpv</w:t>
      </w:r>
      <w:proofErr w:type="spellEnd"/>
      <w:r w:rsidRPr="007F2D66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F2D66">
        <w:rPr>
          <w:rFonts w:ascii="Arial CE" w:hAnsi="Arial CE" w:cs="Arial"/>
          <w:sz w:val="22"/>
          <w:szCs w:val="22"/>
        </w:rPr>
        <w:t>Geodetické zaměření</w:t>
      </w:r>
      <w:r w:rsidRPr="007F2D66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7F2D66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7F2D66">
        <w:rPr>
          <w:rFonts w:ascii="Arial CE" w:hAnsi="Arial CE" w:cs="Arial"/>
          <w:sz w:val="22"/>
          <w:szCs w:val="22"/>
        </w:rPr>
        <w:t>paré</w:t>
      </w:r>
      <w:proofErr w:type="spellEnd"/>
      <w:r w:rsidRPr="007F2D66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6308B" w:rsidRDefault="0046308B" w:rsidP="007F2D66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BE6EF2" w:rsidRDefault="0046308B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S</w:t>
      </w:r>
      <w:r w:rsidR="004A574D" w:rsidRPr="00BE6EF2">
        <w:rPr>
          <w:rFonts w:ascii="Arial CE" w:hAnsi="Arial CE" w:cs="Arial"/>
          <w:sz w:val="22"/>
          <w:szCs w:val="22"/>
          <w:u w:val="single"/>
        </w:rPr>
        <w:t xml:space="preserve">oučástí </w:t>
      </w:r>
      <w:r w:rsidR="004A574D"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="004A574D"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="004A574D"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="004A574D"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7F2D66" w:rsidRPr="00FA6FDE" w:rsidRDefault="007F2D66" w:rsidP="007F2D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 xml:space="preserve">zpracování Dopravně – inženýrského opatření (DIO) v počtu 6x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61B06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 </w:t>
      </w:r>
    </w:p>
    <w:p w:rsidR="004A574D" w:rsidRPr="00C60059" w:rsidRDefault="00461B06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základní pasportizace přímo dotčených nemovitostí a komunikace. </w:t>
      </w:r>
      <w:r w:rsidR="004A574D" w:rsidRPr="00C60059">
        <w:rPr>
          <w:rFonts w:ascii="Arial CE" w:hAnsi="Arial CE" w:cs="Arial"/>
          <w:sz w:val="22"/>
          <w:szCs w:val="22"/>
        </w:rPr>
        <w:t xml:space="preserve">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6308B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A574D" w:rsidRPr="0038627B">
        <w:rPr>
          <w:rFonts w:ascii="Arial CE" w:hAnsi="Arial CE" w:cs="Arial"/>
          <w:sz w:val="22"/>
          <w:szCs w:val="22"/>
        </w:rPr>
        <w:t xml:space="preserve"> následně zajistí zpracování plánu BOZP</w:t>
      </w:r>
      <w:r w:rsidR="004A574D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4A574D" w:rsidRPr="00640BCD">
        <w:rPr>
          <w:rFonts w:ascii="Arial CE" w:hAnsi="Arial CE" w:cs="Arial"/>
          <w:sz w:val="22"/>
          <w:szCs w:val="22"/>
        </w:rPr>
        <w:t>Dodavatel</w:t>
      </w:r>
      <w:r w:rsidR="004A574D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7753D3" w:rsidRPr="0038627B" w:rsidRDefault="007753D3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A246A" w:rsidRPr="002E7734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2E7734">
        <w:rPr>
          <w:rFonts w:ascii="Arial CE" w:hAnsi="Arial CE" w:cs="Arial"/>
          <w:sz w:val="22"/>
          <w:szCs w:val="22"/>
          <w:u w:val="single"/>
        </w:rPr>
        <w:t>Návrh havarijního plánu</w:t>
      </w:r>
      <w:r w:rsidR="00521199" w:rsidRPr="002E7734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2E7734">
        <w:rPr>
          <w:rFonts w:ascii="Arial CE" w:hAnsi="Arial CE" w:cs="Arial"/>
          <w:sz w:val="22"/>
          <w:szCs w:val="22"/>
          <w:u w:val="single"/>
        </w:rPr>
        <w:t>(</w:t>
      </w:r>
      <w:r w:rsidR="00982158" w:rsidRPr="002E7734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3A246A"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="003A246A" w:rsidRPr="0038627B">
        <w:rPr>
          <w:rFonts w:ascii="Arial CE" w:hAnsi="Arial CE" w:cs="Arial"/>
          <w:sz w:val="22"/>
          <w:szCs w:val="22"/>
        </w:rPr>
        <w:t xml:space="preserve">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2D66" w:rsidRDefault="007F2D66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4D1AD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461B06" w:rsidRPr="00461B06" w:rsidRDefault="00461B06" w:rsidP="00461B06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461B06">
        <w:rPr>
          <w:rFonts w:ascii="Arial" w:hAnsi="Arial" w:cs="Arial"/>
          <w:sz w:val="22"/>
          <w:szCs w:val="22"/>
        </w:rPr>
        <w:t>AD bude prováděn</w:t>
      </w:r>
      <w:proofErr w:type="gramEnd"/>
      <w:r w:rsidRPr="00461B06">
        <w:rPr>
          <w:rFonts w:ascii="Arial" w:hAnsi="Arial" w:cs="Arial"/>
          <w:sz w:val="22"/>
          <w:szCs w:val="22"/>
        </w:rPr>
        <w:t xml:space="preserve"> v uvedeném rozsahu: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 xml:space="preserve">Poskytování vysvětlení potřebných k vypracování projektu pro provádění stavby a </w:t>
      </w:r>
      <w:r w:rsidRPr="00461B06">
        <w:rPr>
          <w:rFonts w:ascii="Arial" w:hAnsi="Arial" w:cs="Arial"/>
          <w:sz w:val="22"/>
          <w:szCs w:val="22"/>
        </w:rPr>
        <w:lastRenderedPageBreak/>
        <w:t>dodavatelské dokumentace.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Účast na odevzdání staveniště zhotovitelem.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</w:t>
      </w:r>
      <w:r w:rsidR="002E4766">
        <w:rPr>
          <w:rFonts w:ascii="Arial" w:hAnsi="Arial" w:cs="Arial"/>
          <w:sz w:val="22"/>
          <w:szCs w:val="22"/>
        </w:rPr>
        <w:t>dodavateli</w:t>
      </w:r>
      <w:r w:rsidRPr="00461B06">
        <w:rPr>
          <w:rFonts w:ascii="Arial" w:hAnsi="Arial" w:cs="Arial"/>
          <w:sz w:val="22"/>
          <w:szCs w:val="22"/>
        </w:rPr>
        <w:t xml:space="preserve"> z pohledu dodržení </w:t>
      </w:r>
      <w:proofErr w:type="spellStart"/>
      <w:r w:rsidRPr="00461B06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461B06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461B06" w:rsidRPr="001D7A19" w:rsidRDefault="00461B06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  <w:r w:rsidR="00461B06" w:rsidRPr="00461B06">
        <w:rPr>
          <w:rFonts w:ascii="Arial CE" w:hAnsi="Arial CE" w:cs="Arial"/>
          <w:sz w:val="22"/>
          <w:szCs w:val="22"/>
        </w:rPr>
        <w:t>V případě požadavku objednatele na konání VV na místě stavby před konáním závěrečného VV zorganizuje MPR tuto schůzku s dodavatelem nejpozději do 7 kalendářních dnů před konáním ZVV.</w:t>
      </w:r>
      <w:r w:rsidR="00461B06">
        <w:rPr>
          <w:rFonts w:ascii="Arial CE" w:hAnsi="Arial CE" w:cs="Arial"/>
          <w:sz w:val="22"/>
          <w:szCs w:val="22"/>
        </w:rPr>
        <w:t xml:space="preserve"> 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</w:t>
      </w:r>
      <w:r w:rsidR="00461B06">
        <w:rPr>
          <w:rFonts w:ascii="Arial CE" w:hAnsi="Arial CE" w:cs="Arial"/>
          <w:sz w:val="22"/>
          <w:szCs w:val="22"/>
        </w:rPr>
        <w:t>3 týdny</w:t>
      </w:r>
      <w:r w:rsidR="00EE792F" w:rsidRPr="001D7A19">
        <w:rPr>
          <w:rFonts w:ascii="Arial CE" w:hAnsi="Arial CE" w:cs="Arial"/>
          <w:sz w:val="22"/>
          <w:szCs w:val="22"/>
        </w:rPr>
        <w:t xml:space="preserve">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</w:t>
      </w:r>
      <w:r w:rsidR="00461B06">
        <w:rPr>
          <w:rFonts w:ascii="Arial CE" w:hAnsi="Arial CE" w:cs="Arial"/>
          <w:sz w:val="22"/>
          <w:szCs w:val="22"/>
        </w:rPr>
        <w:t>4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61B06" w:rsidRDefault="00461B06" w:rsidP="00461B06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61B06">
        <w:rPr>
          <w:rFonts w:ascii="Arial CE" w:hAnsi="Arial CE" w:cs="Arial"/>
          <w:sz w:val="22"/>
          <w:szCs w:val="22"/>
        </w:rPr>
        <w:t>Kompletní</w:t>
      </w:r>
      <w:r w:rsidRPr="00461B06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461B06">
        <w:rPr>
          <w:rFonts w:ascii="Arial CE" w:hAnsi="Arial CE" w:cs="Arial"/>
          <w:sz w:val="22"/>
          <w:szCs w:val="22"/>
        </w:rPr>
        <w:t xml:space="preserve">dokumentace včetně dokladové části, soupisu prací, oceněného soupisu prací s výkazem výměr bude předána MPR v počtu celkem 6x </w:t>
      </w:r>
      <w:proofErr w:type="spellStart"/>
      <w:r w:rsidRPr="00461B06">
        <w:rPr>
          <w:rFonts w:ascii="Arial CE" w:hAnsi="Arial CE" w:cs="Arial"/>
          <w:sz w:val="22"/>
          <w:szCs w:val="22"/>
        </w:rPr>
        <w:t>paré</w:t>
      </w:r>
      <w:proofErr w:type="spellEnd"/>
      <w:r w:rsidRPr="00461B06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3A17F1" w:rsidRPr="003A17F1">
        <w:rPr>
          <w:rFonts w:ascii="Arial CE" w:hAnsi="Arial CE" w:cs="Arial"/>
          <w:b/>
          <w:sz w:val="22"/>
          <w:szCs w:val="22"/>
        </w:rPr>
        <w:t>01</w:t>
      </w:r>
      <w:r w:rsidR="00067F4D" w:rsidRPr="003A17F1">
        <w:rPr>
          <w:rFonts w:ascii="Arial CE" w:hAnsi="Arial CE" w:cs="Arial"/>
          <w:b/>
          <w:sz w:val="22"/>
          <w:szCs w:val="22"/>
        </w:rPr>
        <w:t>.</w:t>
      </w:r>
      <w:r w:rsidR="0057498B" w:rsidRPr="003A17F1">
        <w:rPr>
          <w:rFonts w:ascii="Arial CE" w:hAnsi="Arial CE" w:cs="Arial"/>
          <w:b/>
          <w:sz w:val="22"/>
          <w:szCs w:val="22"/>
        </w:rPr>
        <w:t>0</w:t>
      </w:r>
      <w:r w:rsidR="003A17F1" w:rsidRPr="003A17F1">
        <w:rPr>
          <w:rFonts w:ascii="Arial CE" w:hAnsi="Arial CE" w:cs="Arial"/>
          <w:b/>
          <w:sz w:val="22"/>
          <w:szCs w:val="22"/>
        </w:rPr>
        <w:t>8</w:t>
      </w:r>
      <w:r w:rsidR="00067F4D" w:rsidRPr="003A17F1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496E78" w:rsidRPr="003A17F1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="00C800A6"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="00C800A6"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A41DAA">
        <w:rPr>
          <w:rFonts w:ascii="Arial CE" w:hAnsi="Arial CE" w:cs="Arial"/>
          <w:b/>
          <w:sz w:val="22"/>
          <w:szCs w:val="22"/>
        </w:rPr>
        <w:t>2</w:t>
      </w:r>
      <w:r w:rsidR="00461B06">
        <w:rPr>
          <w:rFonts w:ascii="Arial CE" w:hAnsi="Arial CE" w:cs="Arial"/>
          <w:b/>
          <w:sz w:val="22"/>
          <w:szCs w:val="22"/>
        </w:rPr>
        <w:t>8</w:t>
      </w:r>
      <w:r w:rsidR="0057498B">
        <w:rPr>
          <w:rFonts w:ascii="Arial CE" w:hAnsi="Arial CE" w:cs="Arial"/>
          <w:b/>
          <w:sz w:val="22"/>
          <w:szCs w:val="22"/>
        </w:rPr>
        <w:t>.0</w:t>
      </w:r>
      <w:r w:rsidR="00461B06">
        <w:rPr>
          <w:rFonts w:ascii="Arial CE" w:hAnsi="Arial CE" w:cs="Arial"/>
          <w:b/>
          <w:sz w:val="22"/>
          <w:szCs w:val="22"/>
        </w:rPr>
        <w:t>2</w:t>
      </w:r>
      <w:r w:rsidR="0057498B">
        <w:rPr>
          <w:rFonts w:ascii="Arial CE" w:hAnsi="Arial CE" w:cs="Arial"/>
          <w:b/>
          <w:sz w:val="22"/>
          <w:szCs w:val="22"/>
        </w:rPr>
        <w:t>.201</w:t>
      </w:r>
      <w:r w:rsidR="00461B06">
        <w:rPr>
          <w:rFonts w:ascii="Arial CE" w:hAnsi="Arial CE" w:cs="Arial"/>
          <w:b/>
          <w:sz w:val="22"/>
          <w:szCs w:val="22"/>
        </w:rPr>
        <w:t>8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410D35" w:rsidRPr="00410D35">
        <w:rPr>
          <w:rFonts w:ascii="Arial CE" w:hAnsi="Arial CE" w:cs="Arial"/>
          <w:b/>
          <w:sz w:val="22"/>
          <w:szCs w:val="22"/>
        </w:rPr>
        <w:t>3</w:t>
      </w:r>
      <w:r w:rsidR="00461B06">
        <w:rPr>
          <w:rFonts w:ascii="Arial CE" w:hAnsi="Arial CE" w:cs="Arial"/>
          <w:b/>
          <w:sz w:val="22"/>
          <w:szCs w:val="22"/>
        </w:rPr>
        <w:t>0</w:t>
      </w:r>
      <w:r w:rsidR="0057498B" w:rsidRPr="00410D35">
        <w:rPr>
          <w:rFonts w:ascii="Arial CE" w:hAnsi="Arial CE" w:cs="Arial"/>
          <w:b/>
          <w:sz w:val="22"/>
          <w:szCs w:val="22"/>
        </w:rPr>
        <w:t>.</w:t>
      </w:r>
      <w:r w:rsidR="00410D35" w:rsidRPr="00410D35">
        <w:rPr>
          <w:rFonts w:ascii="Arial CE" w:hAnsi="Arial CE" w:cs="Arial"/>
          <w:b/>
          <w:sz w:val="22"/>
          <w:szCs w:val="22"/>
        </w:rPr>
        <w:t>0</w:t>
      </w:r>
      <w:r w:rsidR="00461B06">
        <w:rPr>
          <w:rFonts w:ascii="Arial CE" w:hAnsi="Arial CE" w:cs="Arial"/>
          <w:b/>
          <w:sz w:val="22"/>
          <w:szCs w:val="22"/>
        </w:rPr>
        <w:t>3</w:t>
      </w:r>
      <w:r w:rsidR="0057498B" w:rsidRPr="00410D35">
        <w:rPr>
          <w:rFonts w:ascii="Arial CE" w:hAnsi="Arial CE" w:cs="Arial"/>
          <w:b/>
          <w:sz w:val="22"/>
          <w:szCs w:val="22"/>
        </w:rPr>
        <w:t>.201</w:t>
      </w:r>
      <w:r w:rsidR="00461B06">
        <w:rPr>
          <w:rFonts w:ascii="Arial CE" w:hAnsi="Arial CE" w:cs="Arial"/>
          <w:b/>
          <w:sz w:val="22"/>
          <w:szCs w:val="22"/>
        </w:rPr>
        <w:t>8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2662EE" w:rsidRDefault="002662EE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2662EE" w:rsidRPr="001D7A19" w:rsidRDefault="002662EE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461B06" w:rsidRPr="00461B06" w:rsidRDefault="00461B06" w:rsidP="00461B0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461B06">
        <w:rPr>
          <w:rFonts w:ascii="Arial CE" w:hAnsi="Arial CE" w:cs="Arial"/>
          <w:b/>
          <w:sz w:val="22"/>
          <w:szCs w:val="22"/>
        </w:rPr>
        <w:t>Autorský dozor:</w:t>
      </w:r>
    </w:p>
    <w:p w:rsidR="00461B06" w:rsidRDefault="00461B06" w:rsidP="00461B0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461B06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lastRenderedPageBreak/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461B06">
        <w:rPr>
          <w:rFonts w:ascii="Arial CE" w:hAnsi="Arial CE" w:cs="Arial"/>
          <w:b/>
          <w:color w:val="000000"/>
          <w:sz w:val="22"/>
          <w:szCs w:val="22"/>
        </w:rPr>
        <w:t>294 890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10D35">
        <w:rPr>
          <w:rFonts w:ascii="Arial CE" w:hAnsi="Arial CE" w:cs="Arial"/>
          <w:sz w:val="22"/>
          <w:szCs w:val="22"/>
        </w:rPr>
        <w:tab/>
      </w:r>
      <w:r w:rsidR="00461B06">
        <w:rPr>
          <w:rFonts w:ascii="Arial CE" w:hAnsi="Arial CE" w:cs="Arial"/>
          <w:sz w:val="22"/>
          <w:szCs w:val="22"/>
        </w:rPr>
        <w:t>228</w:t>
      </w:r>
      <w:r w:rsidR="007F2D66">
        <w:rPr>
          <w:rFonts w:ascii="Arial CE" w:hAnsi="Arial CE" w:cs="Arial"/>
          <w:sz w:val="22"/>
          <w:szCs w:val="22"/>
        </w:rPr>
        <w:t xml:space="preserve"> </w:t>
      </w:r>
      <w:r w:rsidR="00FA3625">
        <w:rPr>
          <w:rFonts w:ascii="Arial CE" w:hAnsi="Arial CE" w:cs="Arial"/>
          <w:sz w:val="22"/>
          <w:szCs w:val="22"/>
        </w:rPr>
        <w:t>0</w:t>
      </w:r>
      <w:r w:rsidR="00461B06">
        <w:rPr>
          <w:rFonts w:ascii="Arial CE" w:hAnsi="Arial CE" w:cs="Arial"/>
          <w:sz w:val="22"/>
          <w:szCs w:val="22"/>
        </w:rPr>
        <w:t>9</w:t>
      </w:r>
      <w:r w:rsidR="00FA3625">
        <w:rPr>
          <w:rFonts w:ascii="Arial CE" w:hAnsi="Arial CE" w:cs="Arial"/>
          <w:sz w:val="22"/>
          <w:szCs w:val="22"/>
        </w:rPr>
        <w:t>0</w:t>
      </w:r>
      <w:r w:rsidR="0057498B">
        <w:rPr>
          <w:rFonts w:ascii="Arial CE" w:hAnsi="Arial CE" w:cs="Arial"/>
          <w:sz w:val="22"/>
          <w:szCs w:val="22"/>
        </w:rPr>
        <w:t>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461B06" w:rsidRDefault="00461B06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Default="00461B06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BOZP, </w:t>
      </w:r>
      <w:r w:rsidR="00067F4D" w:rsidRPr="0057498B">
        <w:rPr>
          <w:rFonts w:ascii="Arial CE" w:hAnsi="Arial CE" w:cs="Arial"/>
          <w:sz w:val="22"/>
          <w:szCs w:val="22"/>
        </w:rPr>
        <w:t>HP</w:t>
      </w:r>
      <w:r>
        <w:rPr>
          <w:rFonts w:ascii="Arial CE" w:hAnsi="Arial CE" w:cs="Arial"/>
          <w:sz w:val="22"/>
          <w:szCs w:val="22"/>
        </w:rPr>
        <w:t>, PP</w:t>
      </w:r>
      <w:r w:rsidR="00067F4D" w:rsidRPr="0057498B">
        <w:rPr>
          <w:rFonts w:ascii="Arial CE" w:hAnsi="Arial CE" w:cs="Arial"/>
          <w:sz w:val="22"/>
          <w:szCs w:val="22"/>
        </w:rPr>
        <w:t xml:space="preserve"> </w:t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  <w:t xml:space="preserve"> </w:t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11</w:t>
      </w:r>
      <w:r w:rsidR="0057498B" w:rsidRPr="0057498B">
        <w:rPr>
          <w:rFonts w:ascii="Arial CE" w:hAnsi="Arial CE" w:cs="Arial"/>
          <w:sz w:val="22"/>
          <w:szCs w:val="22"/>
        </w:rPr>
        <w:t> </w:t>
      </w:r>
      <w:r>
        <w:rPr>
          <w:rFonts w:ascii="Arial CE" w:hAnsi="Arial CE" w:cs="Arial"/>
          <w:sz w:val="22"/>
          <w:szCs w:val="22"/>
        </w:rPr>
        <w:t>0</w:t>
      </w:r>
      <w:r w:rsidR="0057498B" w:rsidRPr="0057498B">
        <w:rPr>
          <w:rFonts w:ascii="Arial CE" w:hAnsi="Arial CE" w:cs="Arial"/>
          <w:sz w:val="22"/>
          <w:szCs w:val="22"/>
        </w:rPr>
        <w:t xml:space="preserve">00,00 </w:t>
      </w:r>
      <w:r w:rsidR="00067F4D" w:rsidRPr="0057498B">
        <w:rPr>
          <w:rFonts w:ascii="Arial CE" w:hAnsi="Arial CE" w:cs="Arial"/>
          <w:sz w:val="22"/>
          <w:szCs w:val="22"/>
        </w:rPr>
        <w:t>Kč bez DPH</w:t>
      </w:r>
    </w:p>
    <w:p w:rsidR="00FA3625" w:rsidRDefault="00FA362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P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="00461B06">
        <w:rPr>
          <w:rFonts w:ascii="Arial CE" w:hAnsi="Arial CE" w:cs="Arial"/>
          <w:sz w:val="22"/>
          <w:szCs w:val="22"/>
        </w:rPr>
        <w:t>36</w:t>
      </w:r>
      <w:r>
        <w:rPr>
          <w:rFonts w:ascii="Arial CE" w:hAnsi="Arial CE" w:cs="Arial"/>
          <w:sz w:val="22"/>
          <w:szCs w:val="22"/>
        </w:rPr>
        <w:t>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7F2D66" w:rsidRDefault="007F2D66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Data ČHMÚ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</w:t>
      </w:r>
      <w:r w:rsidR="00461B06">
        <w:rPr>
          <w:rFonts w:ascii="Arial CE" w:hAnsi="Arial CE" w:cs="Arial"/>
          <w:color w:val="000000"/>
          <w:sz w:val="22"/>
          <w:szCs w:val="22"/>
        </w:rPr>
        <w:t>3</w:t>
      </w:r>
      <w:r>
        <w:rPr>
          <w:rFonts w:ascii="Arial CE" w:hAnsi="Arial CE" w:cs="Arial"/>
          <w:color w:val="000000"/>
          <w:sz w:val="22"/>
          <w:szCs w:val="22"/>
        </w:rPr>
        <w:t> </w:t>
      </w:r>
      <w:r w:rsidR="00461B06">
        <w:rPr>
          <w:rFonts w:ascii="Arial CE" w:hAnsi="Arial CE" w:cs="Arial"/>
          <w:color w:val="000000"/>
          <w:sz w:val="22"/>
          <w:szCs w:val="22"/>
        </w:rPr>
        <w:t>8</w:t>
      </w:r>
      <w:r>
        <w:rPr>
          <w:rFonts w:ascii="Arial CE" w:hAnsi="Arial CE" w:cs="Arial"/>
          <w:color w:val="000000"/>
          <w:sz w:val="22"/>
          <w:szCs w:val="22"/>
        </w:rPr>
        <w:t xml:space="preserve">00,00 </w:t>
      </w:r>
      <w:r w:rsidRPr="00FA3625">
        <w:rPr>
          <w:rFonts w:ascii="Arial CE" w:hAnsi="Arial CE" w:cs="Arial"/>
          <w:sz w:val="22"/>
          <w:szCs w:val="22"/>
        </w:rPr>
        <w:t xml:space="preserve">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461B06" w:rsidRDefault="00461B06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1B06" w:rsidRPr="00FA3625" w:rsidRDefault="00461B06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Pasportizace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16 000,00 </w:t>
      </w:r>
      <w:r w:rsidRPr="00FA3625">
        <w:rPr>
          <w:rFonts w:ascii="Arial CE" w:hAnsi="Arial CE" w:cs="Arial"/>
          <w:sz w:val="22"/>
          <w:szCs w:val="22"/>
        </w:rPr>
        <w:t xml:space="preserve">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FA3625" w:rsidRPr="001D7A19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FA3625" w:rsidRPr="0057498B" w:rsidRDefault="00FA362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61B06" w:rsidRDefault="00461B06" w:rsidP="00461B06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461B06" w:rsidRPr="001D7A19" w:rsidRDefault="00461B06" w:rsidP="00461B06">
      <w:pPr>
        <w:jc w:val="both"/>
        <w:rPr>
          <w:rFonts w:ascii="Arial CE" w:hAnsi="Arial CE" w:cs="Arial"/>
          <w:sz w:val="22"/>
          <w:szCs w:val="22"/>
        </w:rPr>
      </w:pPr>
    </w:p>
    <w:p w:rsidR="00461B06" w:rsidRDefault="00461B06" w:rsidP="00461B06">
      <w:pPr>
        <w:jc w:val="both"/>
        <w:rPr>
          <w:rFonts w:ascii="Arial CE" w:hAnsi="Arial CE" w:cs="Arial"/>
          <w:sz w:val="22"/>
          <w:szCs w:val="22"/>
        </w:rPr>
      </w:pPr>
    </w:p>
    <w:p w:rsidR="00461B06" w:rsidRPr="001D7A19" w:rsidRDefault="00461B06" w:rsidP="00461B06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FA3625" w:rsidRPr="002E610D" w:rsidRDefault="00FA3625" w:rsidP="00FA3625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</w:t>
      </w:r>
      <w:r w:rsidR="00D8103A">
        <w:rPr>
          <w:rFonts w:ascii="Arial CE" w:hAnsi="Arial CE" w:cs="Arial"/>
          <w:sz w:val="22"/>
          <w:szCs w:val="22"/>
        </w:rPr>
        <w:t xml:space="preserve"> a převzetí</w:t>
      </w:r>
      <w:r w:rsidRPr="002E610D">
        <w:rPr>
          <w:rFonts w:ascii="Arial CE" w:hAnsi="Arial CE" w:cs="Arial"/>
          <w:sz w:val="22"/>
          <w:szCs w:val="22"/>
        </w:rPr>
        <w:t xml:space="preserve"> </w:t>
      </w:r>
      <w:r w:rsidR="007753D3">
        <w:rPr>
          <w:rFonts w:ascii="Arial CE" w:hAnsi="Arial CE" w:cs="Arial"/>
          <w:sz w:val="22"/>
          <w:szCs w:val="22"/>
        </w:rPr>
        <w:t xml:space="preserve">geodetického </w:t>
      </w:r>
      <w:r w:rsidRPr="002E610D">
        <w:rPr>
          <w:rFonts w:ascii="Arial CE" w:hAnsi="Arial CE" w:cs="Arial"/>
          <w:sz w:val="22"/>
          <w:szCs w:val="22"/>
        </w:rPr>
        <w:t xml:space="preserve">zaměření </w:t>
      </w:r>
      <w:r w:rsidR="00461B06">
        <w:rPr>
          <w:rFonts w:ascii="Arial CE" w:hAnsi="Arial CE" w:cs="Arial"/>
          <w:sz w:val="22"/>
          <w:szCs w:val="22"/>
        </w:rPr>
        <w:t xml:space="preserve">a pasportizace </w:t>
      </w:r>
      <w:r w:rsidRPr="002E610D">
        <w:rPr>
          <w:rFonts w:ascii="Arial CE" w:hAnsi="Arial CE" w:cs="Arial"/>
          <w:sz w:val="22"/>
          <w:szCs w:val="22"/>
        </w:rPr>
        <w:t>– ve výši 100% ceny</w:t>
      </w:r>
      <w:r>
        <w:rPr>
          <w:rFonts w:ascii="Arial CE" w:hAnsi="Arial CE" w:cs="Arial"/>
          <w:sz w:val="22"/>
          <w:szCs w:val="22"/>
        </w:rPr>
        <w:t xml:space="preserve">, tj. </w:t>
      </w:r>
      <w:r w:rsidR="00D8103A" w:rsidRPr="00D8103A">
        <w:rPr>
          <w:rFonts w:ascii="Arial CE" w:hAnsi="Arial CE" w:cs="Arial"/>
          <w:b/>
          <w:sz w:val="22"/>
          <w:szCs w:val="22"/>
        </w:rPr>
        <w:t>52</w:t>
      </w:r>
      <w:r w:rsidR="00D8103A">
        <w:rPr>
          <w:rFonts w:ascii="Arial CE" w:hAnsi="Arial CE" w:cs="Arial"/>
          <w:b/>
          <w:sz w:val="22"/>
          <w:szCs w:val="22"/>
        </w:rPr>
        <w:t> </w:t>
      </w:r>
      <w:r w:rsidR="007753D3" w:rsidRPr="007753D3">
        <w:rPr>
          <w:rFonts w:ascii="Arial CE" w:hAnsi="Arial CE" w:cs="Arial"/>
          <w:b/>
          <w:sz w:val="22"/>
          <w:szCs w:val="22"/>
        </w:rPr>
        <w:t>0</w:t>
      </w:r>
      <w:r w:rsidRPr="007753D3">
        <w:rPr>
          <w:rFonts w:ascii="Arial CE" w:hAnsi="Arial CE" w:cs="Arial"/>
          <w:b/>
          <w:sz w:val="22"/>
          <w:szCs w:val="22"/>
        </w:rPr>
        <w:t xml:space="preserve">00,00 </w:t>
      </w:r>
      <w:r w:rsidR="007F2D66">
        <w:rPr>
          <w:rFonts w:ascii="Arial CE" w:hAnsi="Arial CE" w:cs="Arial"/>
          <w:b/>
          <w:sz w:val="22"/>
          <w:szCs w:val="22"/>
        </w:rPr>
        <w:t xml:space="preserve">Kč </w:t>
      </w:r>
      <w:r w:rsidRPr="007753D3">
        <w:rPr>
          <w:rFonts w:ascii="Arial CE" w:hAnsi="Arial CE" w:cs="Arial"/>
          <w:b/>
          <w:sz w:val="22"/>
          <w:szCs w:val="22"/>
        </w:rPr>
        <w:t>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>, tj.</w:t>
      </w:r>
      <w:r w:rsidR="00D8103A">
        <w:rPr>
          <w:rFonts w:ascii="Arial CE" w:hAnsi="Arial CE" w:cs="Arial"/>
          <w:sz w:val="22"/>
          <w:szCs w:val="22"/>
        </w:rPr>
        <w:t xml:space="preserve"> </w:t>
      </w:r>
      <w:proofErr w:type="gramStart"/>
      <w:r w:rsidR="00D8103A" w:rsidRPr="00D8103A">
        <w:rPr>
          <w:rFonts w:ascii="Arial CE" w:hAnsi="Arial CE" w:cs="Arial"/>
          <w:b/>
          <w:sz w:val="22"/>
          <w:szCs w:val="22"/>
        </w:rPr>
        <w:t>194 312</w:t>
      </w:r>
      <w:r w:rsidR="004D1AD4">
        <w:rPr>
          <w:rFonts w:ascii="Arial CE" w:hAnsi="Arial CE" w:cs="Arial"/>
          <w:sz w:val="22"/>
          <w:szCs w:val="22"/>
        </w:rPr>
        <w:t xml:space="preserve"> </w:t>
      </w:r>
      <w:r w:rsidR="004D1AD4" w:rsidRPr="004D1AD4">
        <w:rPr>
          <w:rFonts w:ascii="Arial CE" w:hAnsi="Arial CE" w:cs="Arial"/>
          <w:b/>
          <w:sz w:val="22"/>
          <w:szCs w:val="22"/>
        </w:rPr>
        <w:t>,00</w:t>
      </w:r>
      <w:proofErr w:type="gramEnd"/>
      <w:r w:rsidR="004D1AD4" w:rsidRPr="004D1AD4">
        <w:rPr>
          <w:rFonts w:ascii="Arial CE" w:hAnsi="Arial CE" w:cs="Arial"/>
          <w:b/>
          <w:sz w:val="22"/>
          <w:szCs w:val="22"/>
        </w:rPr>
        <w:t xml:space="preserve"> Kč</w:t>
      </w:r>
      <w:r w:rsidR="00FA3625">
        <w:rPr>
          <w:rFonts w:ascii="Arial CE" w:hAnsi="Arial CE" w:cs="Arial"/>
          <w:sz w:val="22"/>
          <w:szCs w:val="22"/>
        </w:rPr>
        <w:t xml:space="preserve"> </w:t>
      </w:r>
      <w:r w:rsidR="00FA3625" w:rsidRPr="00FA3625">
        <w:rPr>
          <w:rFonts w:ascii="Arial CE" w:hAnsi="Arial CE" w:cs="Arial"/>
          <w:b/>
          <w:sz w:val="22"/>
          <w:szCs w:val="22"/>
        </w:rPr>
        <w:t>bez DPH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>, tj</w:t>
      </w:r>
      <w:r w:rsidR="007753D3">
        <w:rPr>
          <w:rFonts w:ascii="Arial CE" w:hAnsi="Arial CE" w:cs="Arial"/>
          <w:sz w:val="22"/>
          <w:szCs w:val="22"/>
        </w:rPr>
        <w:t>.</w:t>
      </w:r>
      <w:r w:rsidR="004D1AD4">
        <w:rPr>
          <w:rFonts w:ascii="Arial CE" w:hAnsi="Arial CE" w:cs="Arial"/>
          <w:sz w:val="22"/>
          <w:szCs w:val="22"/>
        </w:rPr>
        <w:t xml:space="preserve"> </w:t>
      </w:r>
      <w:r w:rsidR="00D8103A" w:rsidRPr="00D8103A">
        <w:rPr>
          <w:rFonts w:ascii="Arial CE" w:hAnsi="Arial CE" w:cs="Arial"/>
          <w:b/>
          <w:sz w:val="22"/>
          <w:szCs w:val="22"/>
        </w:rPr>
        <w:t>48 578</w:t>
      </w:r>
      <w:r w:rsidR="004D1AD4" w:rsidRPr="00D8103A">
        <w:rPr>
          <w:rFonts w:ascii="Arial CE" w:hAnsi="Arial CE" w:cs="Arial"/>
          <w:b/>
          <w:sz w:val="22"/>
          <w:szCs w:val="22"/>
        </w:rPr>
        <w:t>,</w:t>
      </w:r>
      <w:r w:rsidR="004D1AD4" w:rsidRPr="004D1AD4">
        <w:rPr>
          <w:rFonts w:ascii="Arial CE" w:hAnsi="Arial CE" w:cs="Arial"/>
          <w:b/>
          <w:sz w:val="22"/>
          <w:szCs w:val="22"/>
        </w:rPr>
        <w:t>00</w:t>
      </w:r>
      <w:r w:rsidR="007753D3">
        <w:rPr>
          <w:rFonts w:ascii="Arial CE" w:hAnsi="Arial CE" w:cs="Arial"/>
          <w:sz w:val="22"/>
          <w:szCs w:val="22"/>
        </w:rPr>
        <w:t xml:space="preserve"> </w:t>
      </w:r>
      <w:r w:rsidR="00FA3625" w:rsidRPr="00FA3625">
        <w:rPr>
          <w:rFonts w:ascii="Arial CE" w:hAnsi="Arial CE" w:cs="Arial"/>
          <w:b/>
          <w:sz w:val="22"/>
          <w:szCs w:val="22"/>
        </w:rPr>
        <w:t>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4D1AD4" w:rsidRDefault="004D1AD4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lastRenderedPageBreak/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4D1AD4" w:rsidRDefault="004D1AD4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8103A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8103A" w:rsidRPr="001D7A19" w:rsidRDefault="00D8103A" w:rsidP="00D8103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D8103A" w:rsidRPr="001D7A19" w:rsidRDefault="00D8103A" w:rsidP="00D8103A">
      <w:pPr>
        <w:rPr>
          <w:rFonts w:ascii="Arial CE" w:hAnsi="Arial CE" w:cs="Arial"/>
          <w:b/>
          <w:bCs/>
          <w:color w:val="000000"/>
        </w:rPr>
      </w:pPr>
    </w:p>
    <w:p w:rsidR="00D8103A" w:rsidRPr="00545823" w:rsidRDefault="00D8103A" w:rsidP="00D8103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D8103A" w:rsidRPr="00370BB2" w:rsidRDefault="00D8103A" w:rsidP="00D8103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D8103A" w:rsidRPr="001D7A19" w:rsidRDefault="00D8103A" w:rsidP="00D8103A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D8103A" w:rsidRPr="001D7A19" w:rsidRDefault="00D8103A" w:rsidP="00D8103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D8103A" w:rsidRPr="001D7A19" w:rsidRDefault="00D8103A" w:rsidP="00D8103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8103A" w:rsidRPr="00C7652E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D8103A" w:rsidRPr="001D7A19" w:rsidRDefault="00D8103A" w:rsidP="00D8103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8103A" w:rsidRPr="00370BB2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lastRenderedPageBreak/>
        <w:t>Podstatným porušením této smlouvy se rozumí zejména:</w:t>
      </w:r>
    </w:p>
    <w:p w:rsidR="00D8103A" w:rsidRPr="00370BB2" w:rsidRDefault="00D8103A" w:rsidP="00D8103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D8103A" w:rsidRPr="00370BB2" w:rsidRDefault="00D8103A" w:rsidP="00D8103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D8103A" w:rsidRPr="001B5B65" w:rsidRDefault="00D8103A" w:rsidP="00D8103A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D8103A" w:rsidRPr="001D7A19" w:rsidRDefault="00D8103A" w:rsidP="00D8103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8103A" w:rsidRPr="001B5B65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D8103A" w:rsidRPr="00303309" w:rsidRDefault="00D8103A" w:rsidP="00D8103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D8103A" w:rsidRPr="001B7B90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8103A" w:rsidRPr="00303309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8103A" w:rsidRPr="00240A9C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D8103A" w:rsidRPr="00240A9C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D8103A" w:rsidRPr="00240A9C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D8103A" w:rsidRPr="00495198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D8103A" w:rsidRPr="00240A9C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D8103A" w:rsidRDefault="00D8103A" w:rsidP="00D8103A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160749" w:rsidRPr="002414B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Úvaly, dne</w:t>
      </w: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0749" w:rsidRPr="005C192A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160749" w:rsidRPr="00A9202A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160749" w:rsidRPr="00A9202A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</w:t>
      </w:r>
      <w:r w:rsidRPr="00A9202A">
        <w:rPr>
          <w:rFonts w:ascii="Arial" w:hAnsi="Arial" w:cs="Arial"/>
          <w:sz w:val="22"/>
          <w:szCs w:val="22"/>
        </w:rPr>
        <w:t>ednatel společnosti</w:t>
      </w:r>
    </w:p>
    <w:p w:rsidR="00160749" w:rsidRDefault="00160749" w:rsidP="001607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p w:rsidR="00C66451" w:rsidRPr="0057498B" w:rsidRDefault="00C66451" w:rsidP="00C66451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sectPr w:rsidR="00C66451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40" w:rsidRDefault="00502D40">
      <w:r>
        <w:separator/>
      </w:r>
    </w:p>
  </w:endnote>
  <w:endnote w:type="continuationSeparator" w:id="0">
    <w:p w:rsidR="00502D40" w:rsidRDefault="005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B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B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B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40BA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40" w:rsidRDefault="00502D40">
      <w:r>
        <w:separator/>
      </w:r>
    </w:p>
  </w:footnote>
  <w:footnote w:type="continuationSeparator" w:id="0">
    <w:p w:rsidR="00502D40" w:rsidRDefault="00502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A53EC"/>
    <w:multiLevelType w:val="hybridMultilevel"/>
    <w:tmpl w:val="B3CC3B40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35151"/>
    <w:multiLevelType w:val="hybridMultilevel"/>
    <w:tmpl w:val="EBB0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57BC1"/>
    <w:multiLevelType w:val="hybridMultilevel"/>
    <w:tmpl w:val="F614FEAA"/>
    <w:lvl w:ilvl="0" w:tplc="BCD6D7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5"/>
  </w:num>
  <w:num w:numId="4">
    <w:abstractNumId w:val="19"/>
  </w:num>
  <w:num w:numId="5">
    <w:abstractNumId w:val="9"/>
  </w:num>
  <w:num w:numId="6">
    <w:abstractNumId w:val="12"/>
  </w:num>
  <w:num w:numId="7">
    <w:abstractNumId w:val="32"/>
  </w:num>
  <w:num w:numId="8">
    <w:abstractNumId w:val="26"/>
  </w:num>
  <w:num w:numId="9">
    <w:abstractNumId w:val="14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3"/>
  </w:num>
  <w:num w:numId="17">
    <w:abstractNumId w:val="16"/>
  </w:num>
  <w:num w:numId="18">
    <w:abstractNumId w:val="22"/>
  </w:num>
  <w:num w:numId="19">
    <w:abstractNumId w:val="39"/>
  </w:num>
  <w:num w:numId="20">
    <w:abstractNumId w:val="27"/>
  </w:num>
  <w:num w:numId="21">
    <w:abstractNumId w:val="24"/>
  </w:num>
  <w:num w:numId="22">
    <w:abstractNumId w:val="38"/>
  </w:num>
  <w:num w:numId="23">
    <w:abstractNumId w:val="40"/>
  </w:num>
  <w:num w:numId="24">
    <w:abstractNumId w:val="35"/>
  </w:num>
  <w:num w:numId="25">
    <w:abstractNumId w:val="15"/>
  </w:num>
  <w:num w:numId="26">
    <w:abstractNumId w:val="3"/>
  </w:num>
  <w:num w:numId="27">
    <w:abstractNumId w:val="13"/>
  </w:num>
  <w:num w:numId="28">
    <w:abstractNumId w:val="36"/>
  </w:num>
  <w:num w:numId="29">
    <w:abstractNumId w:val="1"/>
  </w:num>
  <w:num w:numId="30">
    <w:abstractNumId w:val="4"/>
  </w:num>
  <w:num w:numId="31">
    <w:abstractNumId w:val="41"/>
  </w:num>
  <w:num w:numId="32">
    <w:abstractNumId w:val="31"/>
  </w:num>
  <w:num w:numId="33">
    <w:abstractNumId w:val="29"/>
  </w:num>
  <w:num w:numId="34">
    <w:abstractNumId w:val="25"/>
  </w:num>
  <w:num w:numId="35">
    <w:abstractNumId w:val="33"/>
  </w:num>
  <w:num w:numId="36">
    <w:abstractNumId w:val="30"/>
  </w:num>
  <w:num w:numId="37">
    <w:abstractNumId w:val="3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8"/>
  </w:num>
  <w:num w:numId="41">
    <w:abstractNumId w:val="28"/>
  </w:num>
  <w:num w:numId="42">
    <w:abstractNumId w:val="11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9C2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0BAD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749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64FD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44116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2EE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056E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4766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1DD8"/>
    <w:rsid w:val="00382F72"/>
    <w:rsid w:val="00384006"/>
    <w:rsid w:val="00384E47"/>
    <w:rsid w:val="0038502C"/>
    <w:rsid w:val="0038627B"/>
    <w:rsid w:val="00387024"/>
    <w:rsid w:val="003920FA"/>
    <w:rsid w:val="003933B9"/>
    <w:rsid w:val="003962C3"/>
    <w:rsid w:val="003A17F1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CBD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D35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1B06"/>
    <w:rsid w:val="0046220D"/>
    <w:rsid w:val="0046308B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4E1B"/>
    <w:rsid w:val="004C6D96"/>
    <w:rsid w:val="004D1AD4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5007D6"/>
    <w:rsid w:val="00500ECC"/>
    <w:rsid w:val="00502D40"/>
    <w:rsid w:val="00510EB7"/>
    <w:rsid w:val="0051206B"/>
    <w:rsid w:val="0051336E"/>
    <w:rsid w:val="00513775"/>
    <w:rsid w:val="005142C9"/>
    <w:rsid w:val="005145E1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694F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86CC9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753D3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5EB4"/>
    <w:rsid w:val="00796080"/>
    <w:rsid w:val="0079698D"/>
    <w:rsid w:val="007A05B4"/>
    <w:rsid w:val="007A0B29"/>
    <w:rsid w:val="007A0EF6"/>
    <w:rsid w:val="007A15A0"/>
    <w:rsid w:val="007A18B3"/>
    <w:rsid w:val="007A4D01"/>
    <w:rsid w:val="007A54AA"/>
    <w:rsid w:val="007A58EF"/>
    <w:rsid w:val="007A6407"/>
    <w:rsid w:val="007A77DD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7F2D66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621D0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1D4"/>
    <w:rsid w:val="008E0EB5"/>
    <w:rsid w:val="008E4C5E"/>
    <w:rsid w:val="008E66DA"/>
    <w:rsid w:val="008E71BE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91B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1DAA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3DBA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090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B64AD"/>
    <w:rsid w:val="00AC0C37"/>
    <w:rsid w:val="00AC1472"/>
    <w:rsid w:val="00AC382A"/>
    <w:rsid w:val="00AC65B7"/>
    <w:rsid w:val="00AC6821"/>
    <w:rsid w:val="00AC71F6"/>
    <w:rsid w:val="00AD5D61"/>
    <w:rsid w:val="00AD6658"/>
    <w:rsid w:val="00AE52CC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27D4"/>
    <w:rsid w:val="00B33D58"/>
    <w:rsid w:val="00B37281"/>
    <w:rsid w:val="00B37614"/>
    <w:rsid w:val="00B411D4"/>
    <w:rsid w:val="00B4302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53F6"/>
    <w:rsid w:val="00B75B52"/>
    <w:rsid w:val="00B769D2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2D52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DB0"/>
    <w:rsid w:val="00C5469F"/>
    <w:rsid w:val="00C5509A"/>
    <w:rsid w:val="00C57625"/>
    <w:rsid w:val="00C57638"/>
    <w:rsid w:val="00C60059"/>
    <w:rsid w:val="00C61B08"/>
    <w:rsid w:val="00C64782"/>
    <w:rsid w:val="00C66451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4146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03A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21CD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387B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33B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514A-6DA2-403D-AE50-3A2149AB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3905</Words>
  <Characters>23042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26894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2017-01-09T11:52:00Z</cp:lastPrinted>
  <dcterms:created xsi:type="dcterms:W3CDTF">2017-07-31T11:45:00Z</dcterms:created>
  <dcterms:modified xsi:type="dcterms:W3CDTF">2017-08-01T06:02:00Z</dcterms:modified>
</cp:coreProperties>
</file>