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207/2024</w:t>
        <w:br/>
        <w:t>č. smlouvy zhotovitele: H24-005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„Ploučnice ve Františkově nad Ploučnicí“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9" w:bottom="2409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2069465" cy="15151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4.pt;width:162.95000000000002pt;height:119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805180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177800</wp:posOffset>
                </wp:positionV>
                <wp:extent cx="2225040" cy="709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7.69999999999999pt;margin-top:14.pt;width:175.20000000000002pt;height:55.899999999999999pt;z-index:-125829373;mso-wrap-distance-left:0;mso-wrap-distance-top:14.pt;mso-wrap-distance-right:0;mso-wrap-distance-bottom:63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98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130935" cy="3873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1.pt;width:89.049999999999997pt;height:30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Komerční banka, a.s., pobočka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je zapsán v obchodním rejstříku Krajského soudu v Ústí nad Labem v oddílu A, vložce č. 13052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12700</wp:posOffset>
                </wp:positionV>
                <wp:extent cx="1905000" cy="42037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500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HG partner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Smetanova 200, 250 82 Úvaly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2.10000000000002pt;margin-top:1.pt;width:150.pt;height:33.1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HG partner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Smetanova 200, 250 82 Úvaly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</w:p>
    <w:p>
      <w:pPr>
        <w:pStyle w:val="Style13"/>
        <w:keepNext/>
        <w:keepLines/>
        <w:widowControl w:val="0"/>
        <w:shd w:val="clear" w:color="auto" w:fill="auto"/>
        <w:tabs>
          <w:tab w:pos="4157" w:val="left"/>
        </w:tabs>
        <w:bidi w:val="0"/>
        <w:spacing w:before="0" w:after="0" w:line="283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27221253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tabs>
          <w:tab w:pos="4157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CZ27221253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Městského soudu v Praze, oddíl C, vložka 105510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83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1389" w:bottom="142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nově platné legislativy, kdy procesní změnou v získávání souhlasu od zástupců AOPK a vydání rozhodnutí JES se značně prodlužuje doba odevzdání kompletní PD.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Současně došlo během prací na projektové dokumentaci ke změně podmínek ze strany obce na zajištění průjezdnosti dotčených komunikací, což má zásadní vliv na samotné technické řešení projektu.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 a Čl. III TERMÍNY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DÍLO A ZPŮSOB PROVEDENÍ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4x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52" w:lineRule="auto"/>
        <w:ind w:left="0" w:right="0" w:firstLine="0"/>
        <w:jc w:val="both"/>
        <w:rPr>
          <w:sz w:val="18"/>
          <w:szCs w:val="18"/>
        </w:rPr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1349" w:left="1394" w:right="1384" w:bottom="1133" w:header="0" w:footer="70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, elektronická verze dokumentace určená pro podání přes informační systém stavební správy bude opatřena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20" w:line="312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207/2024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kvalifikovaným časovým razítkem a elektronickým autorizačním podpisem v příslušném oboru či specializaci.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300"/>
        <w:jc w:val="both"/>
      </w:pPr>
      <w:bookmarkStart w:id="6" w:name="bookmark6"/>
      <w:bookmarkStart w:id="7" w:name="bookmark7"/>
      <w:bookmarkStart w:id="8" w:name="bookmark8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line="240" w:lineRule="auto"/>
        <w:ind w:left="720" w:right="0" w:hanging="3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prací na předmětu plnění: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line="240" w:lineRule="auto"/>
        <w:ind w:left="720" w:right="0" w:hanging="3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a převzetí STP (elektronicky):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180 dnů po podpisu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line="240" w:lineRule="auto"/>
        <w:ind w:left="720" w:right="0" w:hanging="3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280 dní od podpisu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0" w:right="0" w:firstLine="30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300"/>
        <w:jc w:val="both"/>
      </w:pPr>
      <w:bookmarkStart w:id="13" w:name="bookmark13"/>
      <w:bookmarkStart w:id="14" w:name="bookmark14"/>
      <w:bookmarkStart w:id="15" w:name="bookmark1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0" w:right="0" w:firstLine="30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left"/>
      </w:pPr>
      <w:bookmarkStart w:id="17" w:name="bookmark17"/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10 týdnů po nabytí účinnosti smlouvy</w:t>
      </w:r>
      <w:bookmarkEnd w:id="17"/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7" w:val="left"/>
        </w:tabs>
        <w:bidi w:val="0"/>
        <w:spacing w:before="0" w:line="240" w:lineRule="auto"/>
        <w:ind w:left="720" w:right="0" w:hanging="3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a převzetí STP (elektronicky):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180 dnů po podpisu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7" w:val="left"/>
        </w:tabs>
        <w:bidi w:val="0"/>
        <w:spacing w:before="0" w:after="0" w:line="240" w:lineRule="auto"/>
        <w:ind w:left="720" w:right="0" w:hanging="38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kompletní PD (2 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30.06.2025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0" w:right="0" w:firstLine="30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9" w:bottom="1420" w:header="229" w:footer="3" w:gutter="0"/>
          <w:cols w:space="720"/>
          <w:noEndnote/>
          <w:rtlGutter w:val="0"/>
          <w:docGrid w:linePitch="360"/>
        </w:sectPr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9" w:h="16838"/>
          <w:pgMar w:top="1281" w:left="1394" w:right="1394" w:bottom="11169" w:header="0" w:footer="3" w:gutter="0"/>
          <w:cols w:space="720"/>
          <w:noEndnote/>
          <w:rtlGutter w:val="0"/>
          <w:docGrid w:linePitch="360"/>
        </w:sectPr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before="33" w:after="3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111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Úvalech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394" w:right="2421" w:bottom="11169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394" w:right="2522" w:bottom="1420" w:header="0" w:footer="3" w:gutter="0"/>
          <w:cols w:num="2" w:space="720" w:equalWidth="0">
            <w:col w:w="2698" w:space="2256"/>
            <w:col w:w="303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HG partner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81" w:left="1394" w:right="2522" w:bottom="1420" w:header="0" w:footer="3" w:gutter="0"/>
      <w:cols w:num="2" w:space="720" w:equalWidth="0">
        <w:col w:w="2698" w:space="2256"/>
        <w:col w:w="3038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1.69999999999999pt;margin-top:770.85000000000002pt;width:53.050000000000004pt;height:12.9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71.69999999999999pt;margin-top:770.85000000000002pt;width:53.050000000000004pt;height:12.95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207/2024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19999999999999pt;margin-top:34.300000000000004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207/2024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Dodatek č.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k SoD 207/2024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94.19999999999999pt;margin-top:34.300000000000004pt;width:130.30000000000001pt;height:13.7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Dodatek č.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k SoD 207/2024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207/2024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94.19999999999999pt;margin-top:34.300000000000004pt;width:130.30000000000001pt;height:13.7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207/2024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10" w:line="26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30"/>
      <w:ind w:firstLine="51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Romana Kalinová</dc:creator>
  <cp:keywords/>
</cp:coreProperties>
</file>