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36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1 ke</w:t>
      </w:r>
      <w:bookmarkEnd w:id="0"/>
      <w:bookmarkEnd w:id="1"/>
      <w:bookmarkEnd w:id="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530/2024</w:t>
      </w:r>
      <w:bookmarkEnd w:id="10"/>
      <w:bookmarkEnd w:id="11"/>
      <w:bookmarkEnd w:id="9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266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  <w:bookmarkEnd w:id="12"/>
      <w:bookmarkEnd w:id="13"/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“PPV – oprava betonového pláště”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4"/>
        <w:keepNext/>
        <w:keepLines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4"/>
        <w:keepNext/>
        <w:keepLines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4"/>
      <w:bookmarkEnd w:id="25"/>
      <w:bookmarkEnd w:id="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7" w:name="bookmark27"/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 a k jednání o věcech smluvních: oprávněn jednat o věcech technických:</w:t>
      </w:r>
      <w:bookmarkEnd w:id="27"/>
      <w:bookmarkEnd w:id="28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29"/>
      <w:bookmarkEnd w:id="30"/>
      <w:bookmarkEnd w:id="31"/>
    </w:p>
    <w:p>
      <w:pPr>
        <w:pStyle w:val="Style4"/>
        <w:keepNext/>
        <w:keepLines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bookmarkStart w:id="32" w:name="bookmark32"/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  <w:bookmarkEnd w:id="32"/>
      <w:bookmarkEnd w:id="33"/>
      <w:bookmarkEnd w:id="34"/>
    </w:p>
    <w:p>
      <w:pPr>
        <w:pStyle w:val="Style4"/>
        <w:keepNext/>
        <w:keepLines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35"/>
      <w:bookmarkEnd w:id="36"/>
      <w:bookmarkEnd w:id="37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8" w:name="bookmark38"/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38"/>
      <w:bookmarkEnd w:id="39"/>
      <w:bookmarkEnd w:id="4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1" w:name="bookmark41"/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41"/>
      <w:bookmarkEnd w:id="42"/>
      <w:bookmarkEnd w:id="4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4" w:name="bookmark44"/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44"/>
      <w:bookmarkEnd w:id="45"/>
      <w:bookmarkEnd w:id="46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7" w:name="bookmark47"/>
      <w:bookmarkStart w:id="48" w:name="bookmark48"/>
      <w:bookmarkStart w:id="49" w:name="bookmark4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7"/>
      <w:bookmarkEnd w:id="48"/>
      <w:bookmarkEnd w:id="49"/>
    </w:p>
    <w:p>
      <w:pPr>
        <w:pStyle w:val="Style4"/>
        <w:keepNext/>
        <w:keepLines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bookmarkStart w:id="50" w:name="bookmark50"/>
      <w:bookmarkStart w:id="51" w:name="bookmark51"/>
      <w:bookmarkStart w:id="52" w:name="bookmark5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FINSTAV Vodohospodářská stavební s.r.o.</w:t>
      </w:r>
      <w:bookmarkEnd w:id="50"/>
      <w:bookmarkEnd w:id="51"/>
      <w:bookmarkEnd w:id="52"/>
    </w:p>
    <w:p>
      <w:pPr>
        <w:pStyle w:val="Style4"/>
        <w:keepNext/>
        <w:keepLines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bookmarkStart w:id="53" w:name="bookmark53"/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Černovická 4264, 430 03 Chomutov</w:t>
      </w:r>
      <w:bookmarkEnd w:id="53"/>
      <w:bookmarkEnd w:id="54"/>
      <w:bookmarkEnd w:id="55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56"/>
      <w:bookmarkEnd w:id="57"/>
      <w:bookmarkEnd w:id="58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9" w:name="bookmark59"/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  <w:bookmarkEnd w:id="59"/>
      <w:bookmarkEnd w:id="60"/>
      <w:bookmarkEnd w:id="61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2" w:name="bookmark62"/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62"/>
      <w:bookmarkEnd w:id="63"/>
      <w:bookmarkEnd w:id="64"/>
      <w:bookmarkEnd w:id="65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66"/>
      <w:bookmarkEnd w:id="67"/>
      <w:bookmarkEnd w:id="68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69"/>
      <w:bookmarkEnd w:id="70"/>
      <w:bookmarkEnd w:id="71"/>
    </w:p>
    <w:p>
      <w:pPr>
        <w:pStyle w:val="Style4"/>
        <w:keepNext/>
        <w:keepLines/>
        <w:widowControl w:val="0"/>
        <w:shd w:val="clear" w:color="auto" w:fill="auto"/>
        <w:tabs>
          <w:tab w:pos="4248" w:val="left"/>
        </w:tabs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44567731</w:t>
      </w:r>
      <w:bookmarkEnd w:id="72"/>
      <w:bookmarkEnd w:id="73"/>
      <w:bookmarkEnd w:id="74"/>
    </w:p>
    <w:p>
      <w:pPr>
        <w:pStyle w:val="Style4"/>
        <w:keepNext/>
        <w:keepLines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CZ44567731</w:t>
      </w:r>
      <w:bookmarkEnd w:id="75"/>
      <w:bookmarkEnd w:id="76"/>
      <w:bookmarkEnd w:id="77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78"/>
      <w:bookmarkEnd w:id="79"/>
      <w:bookmarkEnd w:id="8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81"/>
      <w:bookmarkEnd w:id="82"/>
      <w:bookmarkEnd w:id="83"/>
    </w:p>
    <w:p>
      <w:pPr>
        <w:pStyle w:val="Style4"/>
        <w:keepNext/>
        <w:keepLines/>
        <w:widowControl w:val="0"/>
        <w:shd w:val="clear" w:color="auto" w:fill="auto"/>
        <w:tabs>
          <w:tab w:pos="2798" w:val="left"/>
        </w:tabs>
        <w:bidi w:val="0"/>
        <w:spacing w:before="0" w:after="180" w:line="240" w:lineRule="auto"/>
        <w:ind w:left="0" w:right="0" w:firstLine="0"/>
        <w:jc w:val="lef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C, vložce č. 2125 tel.:</w:t>
        <w:tab/>
        <w:t>e-mail:</w:t>
      </w:r>
      <w:bookmarkEnd w:id="84"/>
      <w:bookmarkEnd w:id="85"/>
      <w:bookmarkEnd w:id="8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87" w:name="bookmark87"/>
      <w:bookmarkStart w:id="88" w:name="bookmark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87"/>
      <w:bookmarkEnd w:id="8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89" w:name="bookmark89"/>
      <w:bookmarkEnd w:id="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předmětu díla v rozsahu přílohy tohoto dodatku – Oceněného soupisu prací změn závazku ze dne 20.11.2024,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90" w:name="bookmark90"/>
      <w:bookmarkEnd w:id="9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termínu předání a převzetí dokončeného díla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prodloužení termínu dokončení díla z důvodu projednávání a realizace změn předmětu plnění,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91" w:name="bookmark91"/>
      <w:bookmarkEnd w:id="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ceny díla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Dále provedení odpočtu neprovedených prací a upřesnění výměr u položek v soupisu prací. Tyto změny jsou obsahem Přílohy č. 1 Oceněného soupisu prací změn závazku ze dne 20.11.2024. Tato změna závazku ze smlouvy v souvislosti se zadáním dalších prací nemění celkovou povahu veřejné zakázky.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řádně projednány a odsouhlaseny zástupci smluvních stran na mimořádném kontrolním dni stavby. Obě smluvní strany odsouhlasily a potvrdily oceněný soupis prací změn závazku.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92" w:name="bookmark92"/>
      <w:bookmarkEnd w:id="9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Čl. I. Předmět díla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přílohy tohoto dodatku – Oceněného soupisu prací změn závazku ze dne 20.11.2024, který se tímto stává nedílnou součástí smlouvy,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93" w:name="bookmark93"/>
      <w:bookmarkEnd w:id="9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Čl. II. Termín plnění, bod 1. písmeno c) předání a převzetí dokončeného díla: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 nejpozději do 31.10.2024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 nejpozději do 30.06.2024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94" w:name="bookmark94"/>
      <w:bookmarkEnd w:id="9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Cena, bod 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souhlasí s tím, že proplatí zhotoviteli jako protihodnotu za provedení a dokončení díla částku: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cena je sjednána jako součet cen za jednotlivé objekty,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tzn. „08 Celková oprava dilatačního celku s přístupem techniky dle D.7.“ + „VON08 Vedlejší a ostatní náklady 08“ + „12 Nové dilatační spáry dle D.11“ + „VON12 Vedlejší a ostatní náklady 12“ + „14 Výměna poškozených betonových dlaždic dle D.12“ + „VON14 Vedlejší a ostatní náklady 14“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celková smluvní cena bez DPH (za šest objektů) 2.774.926,49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Nová celková smluvní cena bez DPH (za šest objektů) 3.182.153,34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95" w:name="bookmark95"/>
      <w:bookmarkStart w:id="96" w:name="bookmark96"/>
      <w:bookmarkStart w:id="97" w:name="bookmark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tento dodatek ke smlouvě uzavřely určitě, vážně a srozumitelně, že je projevem jejich pravé a svobodné vůle, a na důkaz tohoto připojují své podpisy.</w:t>
      </w:r>
      <w:bookmarkEnd w:id="95"/>
      <w:bookmarkEnd w:id="96"/>
      <w:bookmarkEnd w:id="97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bookmarkStart w:id="100" w:name="bookmark100"/>
      <w:bookmarkStart w:id="98" w:name="bookmark98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účinnosti zveřejněním v Registru smluv, pokud této účinnosti dle příslušných ustanovení dodatku ke smlouvě nenabude později.</w:t>
      </w:r>
      <w:bookmarkEnd w:id="100"/>
      <w:bookmarkEnd w:id="98"/>
      <w:bookmarkEnd w:id="99"/>
      <w:r>
        <w:br w:type="page"/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bookmarkStart w:id="101" w:name="bookmark101"/>
      <w:bookmarkStart w:id="102" w:name="bookmark102"/>
      <w:bookmarkStart w:id="103" w:name="bookmark1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  <w:bookmarkEnd w:id="101"/>
      <w:bookmarkEnd w:id="102"/>
      <w:bookmarkEnd w:id="10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Oceněný soupis prací změn závazku ze dne 20.11.2024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565" w:left="1392" w:right="1390" w:bottom="1307" w:header="1137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12700</wp:posOffset>
                </wp:positionV>
                <wp:extent cx="880745" cy="22860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074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85.85000000000002pt;margin-top:1.pt;width:69.350000000000009pt;height:18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</w:t>
      </w:r>
    </w:p>
    <w:p>
      <w:pPr>
        <w:widowControl w:val="0"/>
        <w:spacing w:line="149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843" w:left="0" w:right="0" w:bottom="887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843" w:left="1394" w:right="3055" w:bottom="8872" w:header="0" w:footer="3" w:gutter="0"/>
          <w:cols w:num="2" w:space="1087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oprávněný zástupce objednatele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" w:after="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843" w:left="0" w:right="0" w:bottom="184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12700</wp:posOffset>
                </wp:positionV>
                <wp:extent cx="1688465" cy="38735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846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investiční ředitel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850000000000009pt;margin-top:1.pt;width:132.94999999999999pt;height:30.5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investiční ředitel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FINSTAV Vodohospodářská stavební 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843" w:left="4053" w:right="1399" w:bottom="184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5840095</wp:posOffset>
              </wp:positionH>
              <wp:positionV relativeFrom="page">
                <wp:posOffset>9925685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85000000000002pt;margin-top:781.55000000000007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9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