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63A2" w14:textId="7C0C69D6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5F51D5">
        <w:rPr>
          <w:rFonts w:ascii="Calibri" w:hAnsi="Calibri" w:cs="Calibri"/>
          <w:sz w:val="24"/>
          <w:szCs w:val="24"/>
        </w:rPr>
        <w:t>3892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342F60D1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5F51D5">
        <w:rPr>
          <w:rFonts w:ascii="Calibri" w:hAnsi="Calibri" w:cs="Calibri"/>
          <w:b/>
          <w:bCs/>
          <w:sz w:val="24"/>
          <w:szCs w:val="24"/>
        </w:rPr>
        <w:t>1100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25C0A25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0B1687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0B1687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0225CD4A" w14:textId="049A86DD" w:rsidR="00791179" w:rsidRPr="00791179" w:rsidRDefault="00C615B6" w:rsidP="57D29909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5EE2A047" w:rsidRPr="57D29909">
        <w:rPr>
          <w:rFonts w:ascii="Calibri" w:hAnsi="Calibri" w:cs="Calibri"/>
          <w:sz w:val="24"/>
          <w:szCs w:val="24"/>
        </w:rPr>
        <w:t>Mgr. Petrem Brůhou, náměstkem generálního ředitele</w:t>
      </w:r>
    </w:p>
    <w:p w14:paraId="7ADCF57F" w14:textId="77777777" w:rsidR="00C615B6" w:rsidRPr="00712F5C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14458C29" w:rsidR="00C615B6" w:rsidRPr="007C38B6" w:rsidRDefault="007C38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  <w:b/>
          <w:bCs/>
        </w:rPr>
      </w:pPr>
      <w:r w:rsidRPr="007C38B6">
        <w:rPr>
          <w:rFonts w:ascii="Calibri" w:hAnsi="Calibri" w:cs="Calibri"/>
          <w:b/>
          <w:bCs/>
        </w:rPr>
        <w:t>CSF, s.r.o.</w:t>
      </w:r>
    </w:p>
    <w:p w14:paraId="70AA9DE5" w14:textId="3BC45186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se sídlem </w:t>
      </w:r>
      <w:r w:rsidR="007C38B6">
        <w:rPr>
          <w:rFonts w:ascii="Calibri" w:hAnsi="Calibri" w:cs="Calibri"/>
        </w:rPr>
        <w:t>Střelecká 672/14, 500 02 Hradec Králové</w:t>
      </w:r>
    </w:p>
    <w:p w14:paraId="5C784FC1" w14:textId="25AFECBC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IČ: </w:t>
      </w:r>
      <w:r w:rsidR="007C38B6">
        <w:rPr>
          <w:rFonts w:ascii="Calibri" w:hAnsi="Calibri" w:cs="Calibri"/>
        </w:rPr>
        <w:t>2528</w:t>
      </w:r>
      <w:r w:rsidR="005A3DD4">
        <w:rPr>
          <w:rFonts w:ascii="Calibri" w:hAnsi="Calibri" w:cs="Calibri"/>
        </w:rPr>
        <w:t>9462</w:t>
      </w:r>
      <w:r w:rsidRPr="00712F5C">
        <w:rPr>
          <w:rFonts w:ascii="Calibri" w:hAnsi="Calibri" w:cs="Calibri"/>
        </w:rPr>
        <w:t xml:space="preserve"> </w:t>
      </w:r>
    </w:p>
    <w:p w14:paraId="0E9878CE" w14:textId="42D4C874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zapsaná v obchodním rejstříku vedeném </w:t>
      </w:r>
      <w:r w:rsidR="005A3DD4">
        <w:rPr>
          <w:rFonts w:ascii="Calibri" w:hAnsi="Calibri" w:cs="Calibri"/>
        </w:rPr>
        <w:t>Krajským</w:t>
      </w:r>
      <w:r w:rsidRPr="00712F5C">
        <w:rPr>
          <w:rFonts w:ascii="Calibri" w:hAnsi="Calibri" w:cs="Calibri"/>
          <w:shd w:val="clear" w:color="auto" w:fill="FFFFFF"/>
        </w:rPr>
        <w:t xml:space="preserve"> soudem</w:t>
      </w:r>
      <w:r w:rsidR="005A3DD4">
        <w:rPr>
          <w:rFonts w:ascii="Calibri" w:hAnsi="Calibri" w:cs="Calibri"/>
          <w:shd w:val="clear" w:color="auto" w:fill="FFFFFF"/>
        </w:rPr>
        <w:t xml:space="preserve"> v Hradci Králové</w:t>
      </w:r>
      <w:r w:rsidRPr="00712F5C">
        <w:rPr>
          <w:rFonts w:ascii="Calibri" w:hAnsi="Calibri" w:cs="Calibri"/>
          <w:shd w:val="clear" w:color="auto" w:fill="FFFFFF"/>
        </w:rPr>
        <w:t xml:space="preserve"> pod </w:t>
      </w:r>
      <w:r w:rsidRPr="00712F5C">
        <w:rPr>
          <w:rFonts w:ascii="Calibri" w:hAnsi="Calibri" w:cs="Calibri"/>
        </w:rPr>
        <w:t xml:space="preserve">spis. zn. </w:t>
      </w:r>
      <w:r w:rsidR="005A3DD4">
        <w:rPr>
          <w:rFonts w:ascii="Calibri" w:hAnsi="Calibri" w:cs="Calibri"/>
        </w:rPr>
        <w:t>C 13316</w:t>
      </w:r>
      <w:r w:rsidR="008A58F9">
        <w:rPr>
          <w:rFonts w:ascii="Calibri" w:hAnsi="Calibri" w:cs="Calibri"/>
        </w:rPr>
        <w:t>/KSHK</w:t>
      </w:r>
    </w:p>
    <w:p w14:paraId="0A5F3A93" w14:textId="03661493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zastoupená </w:t>
      </w:r>
      <w:r w:rsidR="00661F00">
        <w:rPr>
          <w:rFonts w:ascii="Calibri" w:hAnsi="Calibri" w:cs="Calibri"/>
        </w:rPr>
        <w:t>Tomášem Pavelkou, jednatelem</w:t>
      </w:r>
    </w:p>
    <w:p w14:paraId="0256D4AD" w14:textId="1E692807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číslo účtu: </w:t>
      </w:r>
      <w:r w:rsidR="00661F00">
        <w:rPr>
          <w:rFonts w:ascii="Calibri" w:hAnsi="Calibri" w:cs="Calibri"/>
        </w:rPr>
        <w:t>xxxxxxxxxxxxxxxx xxxxxxxxxxxxxx xxxxx xxxxxx xxxxxxx</w:t>
      </w:r>
    </w:p>
    <w:p w14:paraId="582997F6" w14:textId="6578DF42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kontaktní osoba:</w:t>
      </w:r>
      <w:r w:rsidR="00661F00">
        <w:rPr>
          <w:rFonts w:ascii="Calibri" w:hAnsi="Calibri" w:cs="Calibri"/>
        </w:rPr>
        <w:t xml:space="preserve"> xxxxxx xxxxxxxx xxxxxxxxxxxxxxxxxxxxxx xxx xxx xxx</w:t>
      </w:r>
    </w:p>
    <w:p w14:paraId="4EB78B2A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5489D484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00712F5C">
        <w:rPr>
          <w:rFonts w:ascii="Calibri" w:hAnsi="Calibri" w:cs="Calibri"/>
          <w:sz w:val="24"/>
          <w:szCs w:val="24"/>
        </w:rPr>
        <w:t xml:space="preserve">nadlimitní </w:t>
      </w:r>
      <w:r w:rsidRPr="00712F5C">
        <w:rPr>
          <w:rFonts w:ascii="Calibri" w:hAnsi="Calibri" w:cs="Calibri"/>
          <w:sz w:val="24"/>
          <w:szCs w:val="24"/>
        </w:rPr>
        <w:t xml:space="preserve">veřejné zakázky pod názvem </w:t>
      </w:r>
      <w:r w:rsidR="00205716" w:rsidRPr="00205716">
        <w:rPr>
          <w:rFonts w:ascii="Calibri" w:hAnsi="Calibri" w:cs="Calibri"/>
          <w:sz w:val="24"/>
          <w:szCs w:val="24"/>
        </w:rPr>
        <w:t xml:space="preserve">Skenery formátu A3 pro odborná pracoviště Národního muzea </w:t>
      </w:r>
      <w:r w:rsidR="00A55102">
        <w:rPr>
          <w:rFonts w:ascii="Calibri" w:hAnsi="Calibri" w:cs="Calibri"/>
          <w:sz w:val="24"/>
          <w:szCs w:val="24"/>
        </w:rPr>
        <w:t>(VZ240</w:t>
      </w:r>
      <w:r w:rsidR="000D54DB">
        <w:rPr>
          <w:rFonts w:ascii="Calibri" w:hAnsi="Calibri" w:cs="Calibri"/>
          <w:sz w:val="24"/>
          <w:szCs w:val="24"/>
        </w:rPr>
        <w:t>280</w:t>
      </w:r>
      <w:r w:rsidR="00A55102">
        <w:rPr>
          <w:rFonts w:ascii="Calibri" w:hAnsi="Calibri" w:cs="Calibri"/>
          <w:sz w:val="24"/>
          <w:szCs w:val="24"/>
        </w:rPr>
        <w:t>)</w:t>
      </w:r>
      <w:r w:rsidRPr="00712F5C">
        <w:rPr>
          <w:rFonts w:ascii="Calibri" w:hAnsi="Calibri" w:cs="Calibri"/>
          <w:sz w:val="24"/>
          <w:szCs w:val="24"/>
        </w:rPr>
        <w:t xml:space="preserve">. </w:t>
      </w:r>
    </w:p>
    <w:p w14:paraId="1B026D72" w14:textId="773B92F8" w:rsidR="24A208FD" w:rsidRPr="00712F5C" w:rsidRDefault="24A208FD" w:rsidP="24A208FD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4C3F3F8" w14:textId="5DC53F61" w:rsidR="00C615B6" w:rsidRPr="00E01E25" w:rsidRDefault="00C615B6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160C8595">
        <w:rPr>
          <w:rFonts w:asciiTheme="minorHAnsi" w:hAnsiTheme="minorHAnsi"/>
          <w:sz w:val="24"/>
          <w:szCs w:val="24"/>
        </w:rPr>
        <w:t>Předmět smlouvy je spolufinancován v rámci Národního plánu obnovy, projektu</w:t>
      </w:r>
      <w:r w:rsidR="00892AEF">
        <w:rPr>
          <w:rFonts w:asciiTheme="minorHAnsi" w:hAnsiTheme="minorHAnsi"/>
          <w:sz w:val="24"/>
          <w:szCs w:val="24"/>
        </w:rPr>
        <w:t xml:space="preserve"> </w:t>
      </w:r>
      <w:r w:rsidR="00892AEF" w:rsidRPr="00892AEF">
        <w:rPr>
          <w:rFonts w:asciiTheme="minorHAnsi" w:hAnsiTheme="minorHAnsi"/>
          <w:sz w:val="24"/>
          <w:szCs w:val="24"/>
        </w:rPr>
        <w:t>Obnova a rozšíření vybavení za účelem digitalizace a prezentace podsbírek Hudebněhistorického oddělení a Muzea Bedřicha Smetany, Českého muzea hudby, Národního muzea s identifikačním číslem projektu: 134V731000033</w:t>
      </w:r>
      <w:r w:rsidR="006A2DFD">
        <w:rPr>
          <w:rFonts w:asciiTheme="minorHAnsi" w:hAnsiTheme="minorHAnsi"/>
          <w:sz w:val="24"/>
          <w:szCs w:val="24"/>
        </w:rPr>
        <w:t xml:space="preserve">; a dále projektu </w:t>
      </w:r>
      <w:r w:rsidR="00B31F1B" w:rsidRPr="00B31F1B">
        <w:rPr>
          <w:rFonts w:asciiTheme="minorHAnsi" w:hAnsiTheme="minorHAnsi"/>
          <w:sz w:val="24"/>
          <w:szCs w:val="24"/>
        </w:rPr>
        <w:t>Modernizace a rozšíření digitalizačního pracoviště Oddělení dějin tělesné výchovy a sportu, Historického muzea, Národního muzea za účelem zefektivnění digitalizace fotoarchivu a podsbírek oddělení s identifikačním číslem projektu: 134V731000025</w:t>
      </w:r>
      <w:r w:rsidR="00B31F1B">
        <w:rPr>
          <w:rFonts w:asciiTheme="minorHAnsi" w:hAnsiTheme="minorHAnsi"/>
          <w:sz w:val="24"/>
          <w:szCs w:val="24"/>
        </w:rPr>
        <w:t xml:space="preserve">; a dále projektu </w:t>
      </w:r>
      <w:r w:rsidR="00E265B3" w:rsidRPr="00E265B3">
        <w:rPr>
          <w:rFonts w:asciiTheme="minorHAnsi" w:hAnsiTheme="minorHAnsi"/>
          <w:sz w:val="24"/>
          <w:szCs w:val="24"/>
        </w:rPr>
        <w:t>Zřízení digitalizačního pracoviště pro digitalizaci a prezentaci podsbírek Centra pro dokumentaci populární hudby a nových médií, Českého muzea hudby, Národního muzea s identifikačním číslem projektu: 134V731000037</w:t>
      </w:r>
      <w:r w:rsidR="00C75D20">
        <w:rPr>
          <w:rFonts w:asciiTheme="minorHAnsi" w:hAnsiTheme="minorHAnsi"/>
          <w:sz w:val="24"/>
          <w:szCs w:val="24"/>
        </w:rPr>
        <w:t>.</w:t>
      </w:r>
    </w:p>
    <w:p w14:paraId="7C4A96C6" w14:textId="77777777" w:rsidR="00BB3977" w:rsidRPr="00712F5C" w:rsidRDefault="00BB3977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lastRenderedPageBreak/>
        <w:t>Předmět smlouvy</w:t>
      </w:r>
    </w:p>
    <w:p w14:paraId="113D41AE" w14:textId="77777777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0E2605BD" w14:textId="78B18475" w:rsidR="00C615B6" w:rsidRPr="00DC698E" w:rsidRDefault="00C615B6" w:rsidP="00DC698E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Předmětem této smlouvy j</w:t>
      </w:r>
      <w:r w:rsidR="00C75D20">
        <w:rPr>
          <w:rFonts w:ascii="Calibri" w:hAnsi="Calibri" w:cs="Calibri"/>
          <w:sz w:val="24"/>
          <w:szCs w:val="24"/>
        </w:rPr>
        <w:t xml:space="preserve">e dodávka </w:t>
      </w:r>
      <w:r w:rsidR="00DB3C20">
        <w:rPr>
          <w:rFonts w:ascii="Calibri" w:hAnsi="Calibri" w:cs="Calibri"/>
          <w:sz w:val="24"/>
          <w:szCs w:val="24"/>
        </w:rPr>
        <w:t>3</w:t>
      </w:r>
      <w:r w:rsidR="00C75D20">
        <w:rPr>
          <w:rFonts w:ascii="Calibri" w:hAnsi="Calibri" w:cs="Calibri"/>
          <w:sz w:val="24"/>
          <w:szCs w:val="24"/>
        </w:rPr>
        <w:t>ks</w:t>
      </w:r>
      <w:r w:rsidR="359E201D" w:rsidRPr="00621A9D">
        <w:rPr>
          <w:rFonts w:ascii="Calibri" w:hAnsi="Calibri" w:cs="Calibri"/>
          <w:sz w:val="24"/>
          <w:szCs w:val="24"/>
        </w:rPr>
        <w:t xml:space="preserve"> </w:t>
      </w:r>
      <w:r w:rsidR="00DB3C20" w:rsidRPr="00A57EFB">
        <w:rPr>
          <w:rFonts w:ascii="Calibri" w:hAnsi="Calibri" w:cs="Calibri"/>
          <w:sz w:val="24"/>
          <w:szCs w:val="24"/>
        </w:rPr>
        <w:t>Grafick</w:t>
      </w:r>
      <w:r w:rsidR="00DB3C20">
        <w:rPr>
          <w:rFonts w:ascii="Calibri" w:hAnsi="Calibri" w:cs="Calibri"/>
          <w:sz w:val="24"/>
          <w:szCs w:val="24"/>
        </w:rPr>
        <w:t>ého</w:t>
      </w:r>
      <w:r w:rsidR="00DB3C20" w:rsidRPr="00A57EFB">
        <w:rPr>
          <w:rFonts w:ascii="Calibri" w:hAnsi="Calibri" w:cs="Calibri"/>
          <w:sz w:val="24"/>
          <w:szCs w:val="24"/>
        </w:rPr>
        <w:t xml:space="preserve"> stolní</w:t>
      </w:r>
      <w:r w:rsidR="00DB3C20">
        <w:rPr>
          <w:rFonts w:ascii="Calibri" w:hAnsi="Calibri" w:cs="Calibri"/>
          <w:sz w:val="24"/>
          <w:szCs w:val="24"/>
        </w:rPr>
        <w:t>ho</w:t>
      </w:r>
      <w:r w:rsidR="00DB3C20" w:rsidRPr="00A57EFB">
        <w:rPr>
          <w:rFonts w:ascii="Calibri" w:hAnsi="Calibri" w:cs="Calibri"/>
          <w:sz w:val="24"/>
          <w:szCs w:val="24"/>
        </w:rPr>
        <w:t xml:space="preserve"> skener</w:t>
      </w:r>
      <w:r w:rsidR="00DB3C20">
        <w:rPr>
          <w:rFonts w:ascii="Calibri" w:hAnsi="Calibri" w:cs="Calibri"/>
          <w:sz w:val="24"/>
          <w:szCs w:val="24"/>
        </w:rPr>
        <w:t>u</w:t>
      </w:r>
      <w:r w:rsidR="00DB3C20" w:rsidRPr="00A57EFB">
        <w:rPr>
          <w:rFonts w:ascii="Calibri" w:hAnsi="Calibri" w:cs="Calibri"/>
          <w:sz w:val="24"/>
          <w:szCs w:val="24"/>
        </w:rPr>
        <w:t>, formát A3</w:t>
      </w:r>
      <w:r w:rsidR="359E201D" w:rsidRPr="00621A9D">
        <w:rPr>
          <w:rFonts w:ascii="Calibri" w:hAnsi="Calibri" w:cs="Calibri"/>
          <w:sz w:val="24"/>
          <w:szCs w:val="24"/>
        </w:rPr>
        <w:t xml:space="preserve">. </w:t>
      </w:r>
      <w:r w:rsidR="00B92724" w:rsidRPr="00621A9D">
        <w:rPr>
          <w:rFonts w:ascii="Calibri" w:hAnsi="Calibri" w:cs="Calibri"/>
          <w:sz w:val="24"/>
          <w:szCs w:val="24"/>
        </w:rPr>
        <w:t>Technická specifikace je obsažena v příloze č. 1</w:t>
      </w:r>
      <w:r w:rsidR="00F40DED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B92724" w:rsidRPr="00621A9D">
        <w:rPr>
          <w:rFonts w:ascii="Calibri" w:hAnsi="Calibri" w:cs="Calibri"/>
          <w:sz w:val="24"/>
          <w:szCs w:val="24"/>
        </w:rPr>
        <w:t xml:space="preserve"> a</w:t>
      </w:r>
      <w:r w:rsidR="007209B2">
        <w:rPr>
          <w:rFonts w:ascii="Calibri" w:hAnsi="Calibri" w:cs="Calibri"/>
          <w:sz w:val="24"/>
          <w:szCs w:val="24"/>
        </w:rPr>
        <w:t xml:space="preserve"> v příloze </w:t>
      </w:r>
      <w:r w:rsidR="00B92724" w:rsidRPr="00621A9D">
        <w:rPr>
          <w:rFonts w:ascii="Calibri" w:hAnsi="Calibri" w:cs="Calibri"/>
          <w:sz w:val="24"/>
          <w:szCs w:val="24"/>
        </w:rPr>
        <w:t>č. 2 (produktový list dodaný prodávajícím) této smlouvy (dále jako „předmět koupě“).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, montáž, zprovoznění – kalibrace a zaškolení obsluhy</w:t>
      </w:r>
      <w:r w:rsidR="1C48C26F" w:rsidRPr="00621A9D">
        <w:rPr>
          <w:rFonts w:ascii="Calibri" w:hAnsi="Calibri" w:cs="Calibri"/>
          <w:sz w:val="24"/>
          <w:szCs w:val="24"/>
        </w:rPr>
        <w:t xml:space="preserve"> </w:t>
      </w:r>
      <w:r w:rsidR="00F252A5" w:rsidRPr="00621A9D">
        <w:rPr>
          <w:rFonts w:ascii="Calibri" w:hAnsi="Calibri" w:cs="Calibri"/>
          <w:sz w:val="24"/>
          <w:szCs w:val="24"/>
        </w:rPr>
        <w:t>předmětu koupě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6D4142B0" w14:textId="53F05CA8" w:rsidR="00736A85" w:rsidRPr="00DC698E" w:rsidRDefault="00736A85" w:rsidP="00DC698E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Součástí dodávky </w:t>
      </w:r>
      <w:r w:rsidR="00D953AE">
        <w:rPr>
          <w:rFonts w:ascii="Calibri" w:hAnsi="Calibri" w:cs="Calibri"/>
          <w:sz w:val="24"/>
          <w:szCs w:val="24"/>
        </w:rPr>
        <w:t xml:space="preserve">je </w:t>
      </w:r>
      <w:r>
        <w:rPr>
          <w:rFonts w:ascii="Calibri" w:hAnsi="Calibri" w:cs="Calibri"/>
          <w:sz w:val="24"/>
          <w:szCs w:val="24"/>
        </w:rPr>
        <w:t xml:space="preserve">také jedna náhradní </w:t>
      </w:r>
      <w:r w:rsidR="0060241F">
        <w:rPr>
          <w:rFonts w:ascii="Calibri" w:hAnsi="Calibri" w:cs="Calibri"/>
          <w:sz w:val="24"/>
          <w:szCs w:val="24"/>
        </w:rPr>
        <w:t>skenovací deska</w:t>
      </w:r>
      <w:r w:rsidR="00DC698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31DD24B" w14:textId="5ACB6B4D" w:rsidR="00C615B6" w:rsidRPr="00712F5C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45F710FB" w14:textId="48E04D14" w:rsidR="00C615B6" w:rsidRDefault="00C615B6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61684557" w14:textId="5EFB6697" w:rsidR="00EB0A4A" w:rsidRPr="00712F5C" w:rsidRDefault="003A3EEC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Instalace, </w:t>
      </w:r>
      <w:r w:rsidR="00355801">
        <w:rPr>
          <w:rFonts w:ascii="Calibri" w:hAnsi="Calibri" w:cs="Calibri"/>
          <w:sz w:val="24"/>
          <w:szCs w:val="24"/>
        </w:rPr>
        <w:t xml:space="preserve">zaškolení i fakturace </w:t>
      </w:r>
      <w:r w:rsidR="002821FA">
        <w:rPr>
          <w:rFonts w:ascii="Calibri" w:hAnsi="Calibri" w:cs="Calibri"/>
          <w:sz w:val="24"/>
          <w:szCs w:val="24"/>
        </w:rPr>
        <w:t>je</w:t>
      </w:r>
      <w:r w:rsidR="00355801">
        <w:rPr>
          <w:rFonts w:ascii="Calibri" w:hAnsi="Calibri" w:cs="Calibri"/>
          <w:sz w:val="24"/>
          <w:szCs w:val="24"/>
        </w:rPr>
        <w:t xml:space="preserve"> ke každému </w:t>
      </w:r>
      <w:r w:rsidR="002821FA">
        <w:rPr>
          <w:rFonts w:ascii="Calibri" w:hAnsi="Calibri" w:cs="Calibri"/>
          <w:sz w:val="24"/>
          <w:szCs w:val="24"/>
        </w:rPr>
        <w:t>kusu skeneru</w:t>
      </w:r>
      <w:r w:rsidR="00355801">
        <w:rPr>
          <w:rFonts w:ascii="Calibri" w:hAnsi="Calibri" w:cs="Calibri"/>
          <w:sz w:val="24"/>
          <w:szCs w:val="24"/>
        </w:rPr>
        <w:t xml:space="preserve"> samostatná</w:t>
      </w:r>
      <w:r w:rsidR="00645800">
        <w:rPr>
          <w:rFonts w:ascii="Calibri" w:hAnsi="Calibri" w:cs="Calibri"/>
          <w:sz w:val="24"/>
          <w:szCs w:val="24"/>
        </w:rPr>
        <w:t>.</w:t>
      </w:r>
    </w:p>
    <w:p w14:paraId="0592535D" w14:textId="77777777" w:rsidR="000C4CA8" w:rsidRDefault="000C4CA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3F3B915" w14:textId="77777777" w:rsidR="000C4CA8" w:rsidRDefault="000C4CA8" w:rsidP="000C4CA8">
      <w:pPr>
        <w:suppressAutoHyphen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6E53B7BC" w:rsidR="00C615B6" w:rsidRPr="00712F5C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0B7E9A" w:rsidRPr="006B5D42">
        <w:rPr>
          <w:rFonts w:ascii="Calibri" w:hAnsi="Calibri" w:cs="Calibri"/>
          <w:sz w:val="24"/>
          <w:szCs w:val="24"/>
        </w:rPr>
        <w:t>299 999</w:t>
      </w:r>
      <w:r w:rsidRPr="006B5D42">
        <w:rPr>
          <w:rFonts w:ascii="Calibri" w:hAnsi="Calibri" w:cs="Calibri"/>
          <w:sz w:val="24"/>
          <w:szCs w:val="24"/>
        </w:rPr>
        <w:t xml:space="preserve"> Kč (slovy: </w:t>
      </w:r>
      <w:r w:rsidR="000B7E9A" w:rsidRPr="006B5D42">
        <w:rPr>
          <w:rFonts w:ascii="Calibri" w:hAnsi="Calibri" w:cs="Calibri"/>
          <w:sz w:val="24"/>
          <w:szCs w:val="24"/>
        </w:rPr>
        <w:t>dvě stě devadesát devět tisíc</w:t>
      </w:r>
      <w:r w:rsidR="006B5D42" w:rsidRPr="006B5D42">
        <w:rPr>
          <w:rFonts w:ascii="Calibri" w:hAnsi="Calibri" w:cs="Calibri"/>
          <w:sz w:val="24"/>
          <w:szCs w:val="24"/>
        </w:rPr>
        <w:t xml:space="preserve"> devět set devadesát devět</w:t>
      </w:r>
      <w:r w:rsidRPr="006B5D42">
        <w:rPr>
          <w:rFonts w:ascii="Calibri" w:hAnsi="Calibri" w:cs="Calibri"/>
          <w:sz w:val="24"/>
          <w:szCs w:val="24"/>
        </w:rPr>
        <w:t xml:space="preserve"> korun českých)</w:t>
      </w:r>
      <w:r w:rsidRPr="00712F5C">
        <w:rPr>
          <w:rFonts w:ascii="Calibri" w:hAnsi="Calibri" w:cs="Calibri"/>
          <w:sz w:val="24"/>
          <w:szCs w:val="24"/>
        </w:rPr>
        <w:t xml:space="preserve"> bez DPH s tím, že DPH bude účtována podle předpisů platných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</w:t>
      </w:r>
      <w:r w:rsidR="18B151E9" w:rsidRPr="00621A9D">
        <w:rPr>
          <w:rFonts w:ascii="Calibri" w:eastAsia="Calibri" w:hAnsi="Calibri" w:cs="Calibri"/>
          <w:sz w:val="24"/>
          <w:szCs w:val="24"/>
        </w:rPr>
        <w:lastRenderedPageBreak/>
        <w:t xml:space="preserve">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246D2E3F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v rozporu s písemným sdělením o jeho změně nebo tyto náležitosti budou uvedeny 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2B7FE9CA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160C8595">
        <w:rPr>
          <w:rFonts w:ascii="Calibri" w:hAnsi="Calibri" w:cs="Calibri"/>
          <w:sz w:val="24"/>
          <w:szCs w:val="24"/>
        </w:rPr>
        <w:t>předmětu koupě</w:t>
      </w:r>
      <w:r w:rsidRPr="160C8595">
        <w:rPr>
          <w:rFonts w:ascii="Calibri" w:hAnsi="Calibri" w:cs="Calibri"/>
          <w:sz w:val="24"/>
          <w:szCs w:val="24"/>
        </w:rPr>
        <w:t xml:space="preserve"> dle této smlouvy je </w:t>
      </w:r>
      <w:r w:rsidR="006B5D42">
        <w:rPr>
          <w:rFonts w:ascii="Calibri" w:hAnsi="Calibri" w:cs="Calibri"/>
          <w:sz w:val="24"/>
          <w:szCs w:val="24"/>
        </w:rPr>
        <w:t>xxxxxxxxxx</w:t>
      </w:r>
      <w:r w:rsidRPr="160C8595">
        <w:rPr>
          <w:rFonts w:ascii="Calibri" w:hAnsi="Calibri" w:cs="Calibri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xxxxxxxxx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xxxxxxxxxxx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r w:rsidR="006458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6B5D42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740CD6C5" w:rsidRPr="009D2D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60C8595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dodací list, který podepíší odpovědní zástupci prodávajícího i kupujícího, případně prodávajícím k tomu pověřený dopravce. </w:t>
      </w:r>
    </w:p>
    <w:p w14:paraId="5F2EC98C" w14:textId="77777777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eastAsia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t>Kupující je povinen předmět koupě prohlédnout ihned při dodání. Takto zjistitelné vady jsou zapsány do dodacího listu. Předávací protokol je dokument dokládající kompletní obsah dodávky (včetně zprovoznění předmětu koupě prodávajícím a zaškolení obsluhy kupujícího). Pokud se v průběhu zprovoznění a zaškolení neobjeví závady na předmětu koupě, je předávací protokol podepsán zástupci obou stran. Pokud se v průběhu zprovoznění a zaškolení zjistí vady na předmětu koupě, je prodávající povinen tyto vady zapsané do předávacího protokolu neprodleně opravit a teprve poté je předávací protokol oběma stranami podepsán.</w:t>
      </w:r>
      <w:r w:rsidRPr="00621A9D">
        <w:rPr>
          <w:rFonts w:ascii="Calibri" w:eastAsia="Calibri" w:hAnsi="Calibri" w:cs="Calibri"/>
          <w:sz w:val="24"/>
          <w:szCs w:val="24"/>
        </w:rPr>
        <w:t xml:space="preserve">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18D8B83C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00892AEF">
        <w:rPr>
          <w:rFonts w:ascii="Calibri" w:hAnsi="Calibri" w:cs="Calibri"/>
          <w:sz w:val="24"/>
          <w:szCs w:val="24"/>
        </w:rPr>
        <w:t>15</w:t>
      </w:r>
      <w:r w:rsidRPr="00712F5C">
        <w:rPr>
          <w:rFonts w:ascii="Calibri" w:hAnsi="Calibri" w:cs="Calibri"/>
          <w:sz w:val="24"/>
          <w:szCs w:val="24"/>
        </w:rPr>
        <w:t>.1</w:t>
      </w:r>
      <w:r w:rsidR="00892AEF">
        <w:rPr>
          <w:rFonts w:ascii="Calibri" w:hAnsi="Calibri" w:cs="Calibri"/>
          <w:sz w:val="24"/>
          <w:szCs w:val="24"/>
        </w:rPr>
        <w:t>2</w:t>
      </w:r>
      <w:r w:rsidRPr="00712F5C">
        <w:rPr>
          <w:rFonts w:ascii="Calibri" w:hAnsi="Calibri" w:cs="Calibri"/>
          <w:sz w:val="24"/>
          <w:szCs w:val="24"/>
        </w:rPr>
        <w:t>.2024</w:t>
      </w:r>
      <w:r w:rsidR="000C1DA4">
        <w:rPr>
          <w:rFonts w:ascii="Calibri" w:hAnsi="Calibri" w:cs="Calibri"/>
          <w:sz w:val="24"/>
          <w:szCs w:val="24"/>
        </w:rPr>
        <w:t xml:space="preserve"> včetně </w:t>
      </w:r>
      <w:r w:rsidR="00020AEB">
        <w:rPr>
          <w:rFonts w:ascii="Calibri" w:hAnsi="Calibri" w:cs="Calibri"/>
          <w:sz w:val="24"/>
          <w:szCs w:val="24"/>
        </w:rPr>
        <w:t>instalace a zaškolení odpovědné osoby kupujícího</w:t>
      </w:r>
      <w:r w:rsidRPr="00712F5C">
        <w:rPr>
          <w:rFonts w:ascii="Calibri" w:hAnsi="Calibri" w:cs="Calibri"/>
          <w:sz w:val="24"/>
          <w:szCs w:val="24"/>
        </w:rPr>
        <w:t xml:space="preserve">. </w:t>
      </w:r>
    </w:p>
    <w:p w14:paraId="39606B58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05C160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Smlouvy.</w:t>
      </w:r>
    </w:p>
    <w:p w14:paraId="13D81684" w14:textId="77777777" w:rsidR="003E0E86" w:rsidRPr="00712F5C" w:rsidRDefault="003E0E8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Pr="00712F5C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4F13B065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</w:t>
      </w:r>
      <w:r w:rsidR="00E01E25">
        <w:rPr>
          <w:rFonts w:ascii="Calibri" w:hAnsi="Calibri" w:cs="Calibri"/>
          <w:sz w:val="24"/>
          <w:szCs w:val="24"/>
        </w:rPr>
        <w:t> </w:t>
      </w:r>
      <w:r w:rsidR="0069746C" w:rsidRPr="00712F5C">
        <w:rPr>
          <w:rFonts w:ascii="Calibri" w:hAnsi="Calibri" w:cs="Calibri"/>
          <w:sz w:val="24"/>
          <w:szCs w:val="24"/>
        </w:rPr>
        <w:t>IV a Čl. VI. Smlouvy.</w:t>
      </w:r>
    </w:p>
    <w:p w14:paraId="7949E6DA" w14:textId="0A683E1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Prodávající poskytuje záruku za jakost předmětu koupě v délce min.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Pr="00712F5C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Pr="00712F5C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3964EE69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5E0400FE" w14:textId="77777777" w:rsidR="002821FA" w:rsidRDefault="002821FA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V případě podstatného porušení smluvních povinností jednou ze smluvních stran má druhá smluvní strana právo od této smlouvy odstoupit. </w:t>
      </w:r>
    </w:p>
    <w:p w14:paraId="46F4E80A" w14:textId="77777777" w:rsidR="00A85961" w:rsidRPr="00712F5C" w:rsidRDefault="00A85961" w:rsidP="00A85961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3C76B0C2" w14:textId="77777777" w:rsidR="00A85961" w:rsidRPr="00712F5C" w:rsidRDefault="00A85961" w:rsidP="00A85961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3067D63F" w14:textId="77777777" w:rsidR="00A85961" w:rsidRPr="00712F5C" w:rsidRDefault="00A85961" w:rsidP="00A85961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1A930B93" w14:textId="77777777" w:rsidR="00A85961" w:rsidRPr="00712F5C" w:rsidRDefault="00A85961" w:rsidP="00A85961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F6FE128" w14:textId="77777777" w:rsidR="002821FA" w:rsidRPr="00712F5C" w:rsidRDefault="002821FA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F356604" w14:textId="77777777" w:rsidR="002821FA" w:rsidRPr="00712F5C" w:rsidRDefault="002821F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2E559224" w:rsidR="00791179" w:rsidRPr="008E2A82" w:rsidRDefault="00791179" w:rsidP="57D29909">
      <w:pPr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Mgr. </w:t>
      </w:r>
      <w:r w:rsidR="099F5818" w:rsidRPr="57D29909">
        <w:rPr>
          <w:rFonts w:ascii="Calibri" w:hAnsi="Calibri" w:cs="Calibri"/>
          <w:sz w:val="24"/>
          <w:szCs w:val="24"/>
        </w:rPr>
        <w:t>Petr Brůha</w:t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  <w:t>Tomáš Pavelka</w:t>
      </w:r>
    </w:p>
    <w:p w14:paraId="1E631C08" w14:textId="231AA626" w:rsidR="7E072F8E" w:rsidRDefault="7E072F8E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>náměstek generálního ředitele</w:t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</w:r>
      <w:r w:rsidR="001A3A86">
        <w:rPr>
          <w:rFonts w:ascii="Calibri" w:hAnsi="Calibri" w:cs="Calibri"/>
          <w:sz w:val="24"/>
          <w:szCs w:val="24"/>
        </w:rPr>
        <w:tab/>
        <w:t>jednatel</w:t>
      </w:r>
    </w:p>
    <w:sectPr w:rsidR="7E072F8E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60D5" w14:textId="77777777" w:rsidR="00E06EF4" w:rsidRDefault="00E06E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6AF012" w14:textId="77777777" w:rsidR="00E06EF4" w:rsidRDefault="00E06E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E793E" w14:textId="77777777" w:rsidR="00E06EF4" w:rsidRDefault="00E06E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DF030E" w14:textId="77777777" w:rsidR="00E06EF4" w:rsidRDefault="00E06E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A5C2" w14:textId="77777777" w:rsidR="0098332B" w:rsidRDefault="0098332B">
    <w:pPr>
      <w:rPr>
        <w:rFonts w:ascii="Calibri" w:hAnsi="Calibri" w:cs="Calibri"/>
        <w:sz w:val="24"/>
        <w:szCs w:val="24"/>
      </w:rPr>
    </w:pPr>
  </w:p>
  <w:p w14:paraId="40EA2A99" w14:textId="310F7BD3" w:rsidR="0098332B" w:rsidRDefault="00C615B6">
    <w:pPr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Příloha č. 2</w:t>
    </w: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4"/>
  </w:num>
  <w:num w:numId="2" w16cid:durableId="1572958923">
    <w:abstractNumId w:val="8"/>
  </w:num>
  <w:num w:numId="3" w16cid:durableId="1972469432">
    <w:abstractNumId w:val="6"/>
  </w:num>
  <w:num w:numId="4" w16cid:durableId="580137790">
    <w:abstractNumId w:val="2"/>
  </w:num>
  <w:num w:numId="5" w16cid:durableId="1140459400">
    <w:abstractNumId w:val="5"/>
  </w:num>
  <w:num w:numId="6" w16cid:durableId="1059134279">
    <w:abstractNumId w:val="4"/>
  </w:num>
  <w:num w:numId="7" w16cid:durableId="1407416095">
    <w:abstractNumId w:val="12"/>
  </w:num>
  <w:num w:numId="8" w16cid:durableId="1366905748">
    <w:abstractNumId w:val="7"/>
  </w:num>
  <w:num w:numId="9" w16cid:durableId="763304047">
    <w:abstractNumId w:val="3"/>
  </w:num>
  <w:num w:numId="10" w16cid:durableId="1664237960">
    <w:abstractNumId w:val="11"/>
  </w:num>
  <w:num w:numId="11" w16cid:durableId="657423431">
    <w:abstractNumId w:val="13"/>
  </w:num>
  <w:num w:numId="12" w16cid:durableId="1047148471">
    <w:abstractNumId w:val="9"/>
  </w:num>
  <w:num w:numId="13" w16cid:durableId="1573469344">
    <w:abstractNumId w:val="10"/>
  </w:num>
  <w:num w:numId="14" w16cid:durableId="1713726318">
    <w:abstractNumId w:val="0"/>
  </w:num>
  <w:num w:numId="15" w16cid:durableId="363602585">
    <w:abstractNumId w:val="15"/>
  </w:num>
  <w:num w:numId="16" w16cid:durableId="1140343455">
    <w:abstractNumId w:val="1"/>
  </w:num>
  <w:num w:numId="17" w16cid:durableId="1485511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463CD"/>
    <w:rsid w:val="00053EC0"/>
    <w:rsid w:val="00076359"/>
    <w:rsid w:val="0007777A"/>
    <w:rsid w:val="00084BF8"/>
    <w:rsid w:val="000910BB"/>
    <w:rsid w:val="000A2D9C"/>
    <w:rsid w:val="000B1687"/>
    <w:rsid w:val="000B7E9A"/>
    <w:rsid w:val="000C1DA4"/>
    <w:rsid w:val="000C4CA8"/>
    <w:rsid w:val="000D54DB"/>
    <w:rsid w:val="00112B07"/>
    <w:rsid w:val="0013750D"/>
    <w:rsid w:val="00145981"/>
    <w:rsid w:val="00152CA0"/>
    <w:rsid w:val="00153E49"/>
    <w:rsid w:val="001717FA"/>
    <w:rsid w:val="00174F7D"/>
    <w:rsid w:val="00192D99"/>
    <w:rsid w:val="001A3A86"/>
    <w:rsid w:val="001A6D64"/>
    <w:rsid w:val="001B18C6"/>
    <w:rsid w:val="001C3932"/>
    <w:rsid w:val="001D27AD"/>
    <w:rsid w:val="001D7618"/>
    <w:rsid w:val="001F15D7"/>
    <w:rsid w:val="001F2794"/>
    <w:rsid w:val="00205716"/>
    <w:rsid w:val="002506F0"/>
    <w:rsid w:val="00260421"/>
    <w:rsid w:val="00264615"/>
    <w:rsid w:val="002821FA"/>
    <w:rsid w:val="002A082D"/>
    <w:rsid w:val="002D3CEA"/>
    <w:rsid w:val="00305A29"/>
    <w:rsid w:val="00314004"/>
    <w:rsid w:val="00331672"/>
    <w:rsid w:val="003365B8"/>
    <w:rsid w:val="00355801"/>
    <w:rsid w:val="0037D5FE"/>
    <w:rsid w:val="003A3EEC"/>
    <w:rsid w:val="003A4E21"/>
    <w:rsid w:val="003B2A5C"/>
    <w:rsid w:val="003C6CA7"/>
    <w:rsid w:val="003E0E86"/>
    <w:rsid w:val="003F3B4E"/>
    <w:rsid w:val="004403C4"/>
    <w:rsid w:val="00440986"/>
    <w:rsid w:val="00452A7D"/>
    <w:rsid w:val="00491471"/>
    <w:rsid w:val="004925C3"/>
    <w:rsid w:val="004C67DD"/>
    <w:rsid w:val="004D0867"/>
    <w:rsid w:val="004F2D24"/>
    <w:rsid w:val="005A3DD4"/>
    <w:rsid w:val="005B31A8"/>
    <w:rsid w:val="005C607B"/>
    <w:rsid w:val="005C7F0E"/>
    <w:rsid w:val="005E3128"/>
    <w:rsid w:val="005F51D5"/>
    <w:rsid w:val="0060241F"/>
    <w:rsid w:val="00613AAB"/>
    <w:rsid w:val="00621A9D"/>
    <w:rsid w:val="006326CC"/>
    <w:rsid w:val="00643EB1"/>
    <w:rsid w:val="00645800"/>
    <w:rsid w:val="00661F00"/>
    <w:rsid w:val="00671BF2"/>
    <w:rsid w:val="006767F1"/>
    <w:rsid w:val="0069746C"/>
    <w:rsid w:val="006A1F33"/>
    <w:rsid w:val="006A2DFD"/>
    <w:rsid w:val="006B3492"/>
    <w:rsid w:val="006B5D42"/>
    <w:rsid w:val="006C4BF6"/>
    <w:rsid w:val="007006C9"/>
    <w:rsid w:val="007047D8"/>
    <w:rsid w:val="00712F5C"/>
    <w:rsid w:val="007209B2"/>
    <w:rsid w:val="00736A85"/>
    <w:rsid w:val="00752AB6"/>
    <w:rsid w:val="00764D9A"/>
    <w:rsid w:val="00791179"/>
    <w:rsid w:val="00792FC7"/>
    <w:rsid w:val="007C38B6"/>
    <w:rsid w:val="007D522E"/>
    <w:rsid w:val="007D6C3D"/>
    <w:rsid w:val="00803A12"/>
    <w:rsid w:val="0080682D"/>
    <w:rsid w:val="00821D22"/>
    <w:rsid w:val="00824699"/>
    <w:rsid w:val="00827D9B"/>
    <w:rsid w:val="00853366"/>
    <w:rsid w:val="00892AEF"/>
    <w:rsid w:val="008A58F9"/>
    <w:rsid w:val="008B5320"/>
    <w:rsid w:val="008B5379"/>
    <w:rsid w:val="008D7DCC"/>
    <w:rsid w:val="008E2A82"/>
    <w:rsid w:val="008F7E99"/>
    <w:rsid w:val="009302E8"/>
    <w:rsid w:val="009329DC"/>
    <w:rsid w:val="009542FE"/>
    <w:rsid w:val="009710B7"/>
    <w:rsid w:val="009711C0"/>
    <w:rsid w:val="0098332B"/>
    <w:rsid w:val="009A1ACA"/>
    <w:rsid w:val="009A6A0C"/>
    <w:rsid w:val="009C1E12"/>
    <w:rsid w:val="009D2DBA"/>
    <w:rsid w:val="009E3319"/>
    <w:rsid w:val="009F69ED"/>
    <w:rsid w:val="00A20BAF"/>
    <w:rsid w:val="00A332CC"/>
    <w:rsid w:val="00A55102"/>
    <w:rsid w:val="00A57EFB"/>
    <w:rsid w:val="00A76C49"/>
    <w:rsid w:val="00A85961"/>
    <w:rsid w:val="00AC4A4A"/>
    <w:rsid w:val="00AD438D"/>
    <w:rsid w:val="00AD5246"/>
    <w:rsid w:val="00B17B9E"/>
    <w:rsid w:val="00B31F1B"/>
    <w:rsid w:val="00B624D6"/>
    <w:rsid w:val="00B62CDE"/>
    <w:rsid w:val="00B65207"/>
    <w:rsid w:val="00B855AA"/>
    <w:rsid w:val="00B92724"/>
    <w:rsid w:val="00BB3977"/>
    <w:rsid w:val="00BE4F11"/>
    <w:rsid w:val="00BE79DB"/>
    <w:rsid w:val="00C0159F"/>
    <w:rsid w:val="00C0556A"/>
    <w:rsid w:val="00C53AC2"/>
    <w:rsid w:val="00C615B6"/>
    <w:rsid w:val="00C640E5"/>
    <w:rsid w:val="00C75D20"/>
    <w:rsid w:val="00CA37A8"/>
    <w:rsid w:val="00CC3964"/>
    <w:rsid w:val="00CD37C6"/>
    <w:rsid w:val="00CF04DF"/>
    <w:rsid w:val="00D10EAB"/>
    <w:rsid w:val="00D42451"/>
    <w:rsid w:val="00D46108"/>
    <w:rsid w:val="00D539E0"/>
    <w:rsid w:val="00D56470"/>
    <w:rsid w:val="00D953AE"/>
    <w:rsid w:val="00DA0C77"/>
    <w:rsid w:val="00DA2D2F"/>
    <w:rsid w:val="00DB3C20"/>
    <w:rsid w:val="00DC698E"/>
    <w:rsid w:val="00E01E25"/>
    <w:rsid w:val="00E031A7"/>
    <w:rsid w:val="00E0637A"/>
    <w:rsid w:val="00E06EF4"/>
    <w:rsid w:val="00E265B3"/>
    <w:rsid w:val="00E3438A"/>
    <w:rsid w:val="00E65B38"/>
    <w:rsid w:val="00E700AF"/>
    <w:rsid w:val="00EA4E74"/>
    <w:rsid w:val="00EB0A4A"/>
    <w:rsid w:val="00EC1D60"/>
    <w:rsid w:val="00EC1FDB"/>
    <w:rsid w:val="00EC40E6"/>
    <w:rsid w:val="00ED3787"/>
    <w:rsid w:val="00EF06D9"/>
    <w:rsid w:val="00EF72D6"/>
    <w:rsid w:val="00F252A5"/>
    <w:rsid w:val="00F37D67"/>
    <w:rsid w:val="00F40DED"/>
    <w:rsid w:val="00F72C93"/>
    <w:rsid w:val="00F967ED"/>
    <w:rsid w:val="00FB0105"/>
    <w:rsid w:val="00FB0130"/>
    <w:rsid w:val="00FB25E1"/>
    <w:rsid w:val="00FC6C8B"/>
    <w:rsid w:val="00FE1DD8"/>
    <w:rsid w:val="00FF5CC4"/>
    <w:rsid w:val="03CF86B4"/>
    <w:rsid w:val="0649506F"/>
    <w:rsid w:val="06B9D66F"/>
    <w:rsid w:val="08D39ED8"/>
    <w:rsid w:val="099F5818"/>
    <w:rsid w:val="09B1EAF6"/>
    <w:rsid w:val="0B745D36"/>
    <w:rsid w:val="1026461A"/>
    <w:rsid w:val="14A785EF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412BDAB"/>
    <w:rsid w:val="24A208FD"/>
    <w:rsid w:val="25DAB700"/>
    <w:rsid w:val="29C5372F"/>
    <w:rsid w:val="2A8B49C1"/>
    <w:rsid w:val="2C438607"/>
    <w:rsid w:val="2CBBBBDC"/>
    <w:rsid w:val="2CCA486D"/>
    <w:rsid w:val="2E06B282"/>
    <w:rsid w:val="30B82AAB"/>
    <w:rsid w:val="30BE3518"/>
    <w:rsid w:val="340DFF6E"/>
    <w:rsid w:val="357C9A9D"/>
    <w:rsid w:val="359E201D"/>
    <w:rsid w:val="35D5EA21"/>
    <w:rsid w:val="36E45837"/>
    <w:rsid w:val="37898CBE"/>
    <w:rsid w:val="385A75F5"/>
    <w:rsid w:val="38780F2F"/>
    <w:rsid w:val="3CD419DD"/>
    <w:rsid w:val="3D269347"/>
    <w:rsid w:val="3F9A0B3F"/>
    <w:rsid w:val="41262D0B"/>
    <w:rsid w:val="421E0647"/>
    <w:rsid w:val="43204CDD"/>
    <w:rsid w:val="43F83BC4"/>
    <w:rsid w:val="45799E33"/>
    <w:rsid w:val="461A2C31"/>
    <w:rsid w:val="4A1E979F"/>
    <w:rsid w:val="50DCC0AA"/>
    <w:rsid w:val="51ABEEE5"/>
    <w:rsid w:val="52311B42"/>
    <w:rsid w:val="52B4A79A"/>
    <w:rsid w:val="57D29909"/>
    <w:rsid w:val="57E96E6E"/>
    <w:rsid w:val="594DF5FE"/>
    <w:rsid w:val="5AE9C65F"/>
    <w:rsid w:val="5C8596C0"/>
    <w:rsid w:val="5E9D37EF"/>
    <w:rsid w:val="5EE2A047"/>
    <w:rsid w:val="63BE8201"/>
    <w:rsid w:val="67001DA3"/>
    <w:rsid w:val="683941B9"/>
    <w:rsid w:val="6EE0C0B7"/>
    <w:rsid w:val="6F3CC892"/>
    <w:rsid w:val="6FD7858E"/>
    <w:rsid w:val="6FD89C5D"/>
    <w:rsid w:val="6FFDFAEE"/>
    <w:rsid w:val="706EC71B"/>
    <w:rsid w:val="740CD6C5"/>
    <w:rsid w:val="75D15913"/>
    <w:rsid w:val="7C1B1E2F"/>
    <w:rsid w:val="7E072F8E"/>
    <w:rsid w:val="7F4AC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4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1795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Brůha Petr</cp:lastModifiedBy>
  <cp:revision>22</cp:revision>
  <cp:lastPrinted>2024-07-24T12:23:00Z</cp:lastPrinted>
  <dcterms:created xsi:type="dcterms:W3CDTF">2024-08-14T07:54:00Z</dcterms:created>
  <dcterms:modified xsi:type="dcterms:W3CDTF">2024-12-17T13:04:00Z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