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BF5B1" w14:textId="6B1F6419" w:rsidR="006547A3" w:rsidRDefault="00000000">
      <w:pPr>
        <w:pStyle w:val="Heading210"/>
        <w:keepNext/>
        <w:keepLines/>
      </w:pPr>
      <w:bookmarkStart w:id="0" w:name="bookmark0"/>
      <w:r>
        <w:rPr>
          <w:rStyle w:val="Heading21"/>
        </w:rPr>
        <w:t>Smlouva o poskytnutí obratového bonusu</w:t>
      </w:r>
      <w:bookmarkEnd w:id="0"/>
    </w:p>
    <w:p w14:paraId="624D6C27" w14:textId="77777777" w:rsidR="006547A3" w:rsidRDefault="00000000">
      <w:pPr>
        <w:pStyle w:val="Heading310"/>
        <w:keepNext/>
        <w:keepLines/>
        <w:spacing w:after="40" w:line="240" w:lineRule="auto"/>
        <w:jc w:val="left"/>
      </w:pPr>
      <w:bookmarkStart w:id="1" w:name="bookmark2"/>
      <w:proofErr w:type="spellStart"/>
      <w:r>
        <w:rPr>
          <w:rStyle w:val="Heading31"/>
          <w:b/>
          <w:bCs/>
        </w:rPr>
        <w:t>Berlin</w:t>
      </w:r>
      <w:proofErr w:type="spellEnd"/>
      <w:r>
        <w:rPr>
          <w:rStyle w:val="Heading31"/>
          <w:b/>
          <w:bCs/>
        </w:rPr>
        <w:t>-Chemie/</w:t>
      </w:r>
      <w:proofErr w:type="spellStart"/>
      <w:r>
        <w:rPr>
          <w:rStyle w:val="Heading31"/>
          <w:b/>
          <w:bCs/>
        </w:rPr>
        <w:t>A.Menarini</w:t>
      </w:r>
      <w:proofErr w:type="spellEnd"/>
      <w:r>
        <w:rPr>
          <w:rStyle w:val="Heading31"/>
          <w:b/>
          <w:bCs/>
        </w:rPr>
        <w:t xml:space="preserve"> Česka republika s.r.o.</w:t>
      </w:r>
      <w:bookmarkEnd w:id="1"/>
    </w:p>
    <w:p w14:paraId="4F3B00BD" w14:textId="77777777" w:rsidR="006547A3" w:rsidRDefault="00000000">
      <w:pPr>
        <w:pStyle w:val="Bodytext10"/>
        <w:tabs>
          <w:tab w:val="left" w:pos="1118"/>
          <w:tab w:val="right" w:pos="4975"/>
        </w:tabs>
        <w:spacing w:after="40" w:line="240" w:lineRule="auto"/>
      </w:pPr>
      <w:r>
        <w:rPr>
          <w:rStyle w:val="Bodytext1"/>
        </w:rPr>
        <w:t>sídlo:</w:t>
      </w:r>
      <w:r>
        <w:rPr>
          <w:rStyle w:val="Bodytext1"/>
        </w:rPr>
        <w:tab/>
        <w:t>Budějovická 778/3,</w:t>
      </w:r>
      <w:r>
        <w:rPr>
          <w:rStyle w:val="Bodytext1"/>
        </w:rPr>
        <w:tab/>
        <w:t>Michle, 140 00 Praha 4</w:t>
      </w:r>
    </w:p>
    <w:p w14:paraId="25983412" w14:textId="77777777" w:rsidR="006547A3" w:rsidRDefault="00000000">
      <w:pPr>
        <w:pStyle w:val="Bodytext10"/>
        <w:tabs>
          <w:tab w:val="left" w:pos="1118"/>
        </w:tabs>
        <w:spacing w:after="40" w:line="240" w:lineRule="auto"/>
      </w:pPr>
      <w:r>
        <w:rPr>
          <w:rStyle w:val="Bodytext1"/>
        </w:rPr>
        <w:t>IČ:</w:t>
      </w:r>
      <w:r>
        <w:rPr>
          <w:rStyle w:val="Bodytext1"/>
        </w:rPr>
        <w:tab/>
        <w:t>27871533</w:t>
      </w:r>
    </w:p>
    <w:p w14:paraId="11EA853A" w14:textId="77777777" w:rsidR="001530AE" w:rsidRDefault="00000000">
      <w:pPr>
        <w:pStyle w:val="Bodytext10"/>
        <w:tabs>
          <w:tab w:val="left" w:pos="1118"/>
        </w:tabs>
        <w:spacing w:after="40" w:line="240" w:lineRule="auto"/>
        <w:rPr>
          <w:rStyle w:val="Bodytext1"/>
        </w:rPr>
      </w:pPr>
      <w:r>
        <w:rPr>
          <w:rStyle w:val="Bodytext1"/>
        </w:rPr>
        <w:t>DIČ:</w:t>
      </w:r>
      <w:r>
        <w:rPr>
          <w:rStyle w:val="Bodytext1"/>
        </w:rPr>
        <w:tab/>
        <w:t xml:space="preserve">CZ27871533 </w:t>
      </w:r>
    </w:p>
    <w:p w14:paraId="11E12D34" w14:textId="77777777" w:rsidR="001530AE" w:rsidRDefault="00000000">
      <w:pPr>
        <w:pStyle w:val="Bodytext10"/>
        <w:tabs>
          <w:tab w:val="left" w:pos="1118"/>
        </w:tabs>
        <w:spacing w:after="40" w:line="240" w:lineRule="auto"/>
        <w:rPr>
          <w:rStyle w:val="Bodytext1"/>
        </w:rPr>
      </w:pPr>
      <w:r>
        <w:rPr>
          <w:rStyle w:val="Bodytext1"/>
        </w:rPr>
        <w:t xml:space="preserve">číslo účtu: </w:t>
      </w:r>
    </w:p>
    <w:p w14:paraId="58097A06" w14:textId="77777777" w:rsidR="001530AE" w:rsidRDefault="00000000">
      <w:pPr>
        <w:pStyle w:val="Bodytext10"/>
        <w:tabs>
          <w:tab w:val="left" w:pos="1118"/>
        </w:tabs>
        <w:spacing w:after="40" w:line="240" w:lineRule="auto"/>
        <w:rPr>
          <w:rStyle w:val="Bodytext1"/>
        </w:rPr>
      </w:pPr>
      <w:r>
        <w:rPr>
          <w:rStyle w:val="Bodytext1"/>
        </w:rPr>
        <w:t xml:space="preserve">zapsaná v obchodním rejstříku vedeném Městským soudem v Praze, </w:t>
      </w:r>
      <w:proofErr w:type="spellStart"/>
      <w:r>
        <w:rPr>
          <w:rStyle w:val="Bodytext1"/>
        </w:rPr>
        <w:t>sp</w:t>
      </w:r>
      <w:proofErr w:type="spellEnd"/>
      <w:r>
        <w:rPr>
          <w:rStyle w:val="Bodytext1"/>
        </w:rPr>
        <w:t xml:space="preserve">. zn. C 123101 </w:t>
      </w:r>
    </w:p>
    <w:p w14:paraId="5B124F1C" w14:textId="068FDC77" w:rsidR="006547A3" w:rsidRDefault="00000000">
      <w:pPr>
        <w:pStyle w:val="Bodytext10"/>
        <w:tabs>
          <w:tab w:val="left" w:pos="1118"/>
        </w:tabs>
        <w:spacing w:after="40" w:line="240" w:lineRule="auto"/>
      </w:pPr>
      <w:r>
        <w:rPr>
          <w:rStyle w:val="Bodytext1"/>
        </w:rPr>
        <w:t>zastoupená: generálním ředitelem</w:t>
      </w:r>
    </w:p>
    <w:p w14:paraId="6871C454" w14:textId="77777777" w:rsidR="006547A3" w:rsidRDefault="00000000">
      <w:pPr>
        <w:pStyle w:val="Bodytext10"/>
        <w:spacing w:line="293" w:lineRule="auto"/>
      </w:pPr>
      <w:r>
        <w:rPr>
          <w:rStyle w:val="Bodytext1"/>
        </w:rPr>
        <w:t xml:space="preserve">dále jen </w:t>
      </w:r>
      <w:r>
        <w:rPr>
          <w:rStyle w:val="Bodytext1"/>
          <w:b/>
          <w:bCs/>
        </w:rPr>
        <w:t xml:space="preserve">„Společnost" </w:t>
      </w:r>
      <w:r>
        <w:rPr>
          <w:rStyle w:val="Bodytext1"/>
        </w:rPr>
        <w:t>a</w:t>
      </w:r>
    </w:p>
    <w:p w14:paraId="6F85BE94" w14:textId="77777777" w:rsidR="006547A3" w:rsidRDefault="00000000">
      <w:pPr>
        <w:pStyle w:val="Heading310"/>
        <w:keepNext/>
        <w:keepLines/>
        <w:spacing w:after="40" w:line="240" w:lineRule="auto"/>
        <w:jc w:val="left"/>
      </w:pPr>
      <w:bookmarkStart w:id="2" w:name="bookmark4"/>
      <w:r>
        <w:rPr>
          <w:rStyle w:val="Heading31"/>
          <w:b/>
          <w:bCs/>
        </w:rPr>
        <w:t>Nemocnice Havířov, příspěvková organizace</w:t>
      </w:r>
      <w:bookmarkEnd w:id="2"/>
    </w:p>
    <w:p w14:paraId="78ED1B77" w14:textId="77777777" w:rsidR="006547A3" w:rsidRDefault="00000000">
      <w:pPr>
        <w:pStyle w:val="Bodytext10"/>
        <w:tabs>
          <w:tab w:val="left" w:pos="1118"/>
          <w:tab w:val="center" w:pos="3204"/>
          <w:tab w:val="right" w:pos="4262"/>
        </w:tabs>
        <w:spacing w:after="40" w:line="240" w:lineRule="auto"/>
      </w:pPr>
      <w:r>
        <w:rPr>
          <w:rStyle w:val="Bodytext1"/>
        </w:rPr>
        <w:t>sídlo:</w:t>
      </w:r>
      <w:r>
        <w:rPr>
          <w:rStyle w:val="Bodytext1"/>
        </w:rPr>
        <w:tab/>
        <w:t>Dělnická 1132/24,</w:t>
      </w:r>
      <w:r>
        <w:rPr>
          <w:rStyle w:val="Bodytext1"/>
        </w:rPr>
        <w:tab/>
        <w:t>736 01,</w:t>
      </w:r>
      <w:r>
        <w:rPr>
          <w:rStyle w:val="Bodytext1"/>
        </w:rPr>
        <w:tab/>
        <w:t>Havířov</w:t>
      </w:r>
    </w:p>
    <w:p w14:paraId="3B438D0E" w14:textId="77777777" w:rsidR="006547A3" w:rsidRDefault="00000000">
      <w:pPr>
        <w:pStyle w:val="Bodytext10"/>
        <w:tabs>
          <w:tab w:val="left" w:pos="1118"/>
        </w:tabs>
        <w:spacing w:after="40" w:line="240" w:lineRule="auto"/>
      </w:pPr>
      <w:r>
        <w:rPr>
          <w:rStyle w:val="Bodytext1"/>
        </w:rPr>
        <w:t>IČ:</w:t>
      </w:r>
      <w:r>
        <w:rPr>
          <w:rStyle w:val="Bodytext1"/>
        </w:rPr>
        <w:tab/>
        <w:t>00844896</w:t>
      </w:r>
    </w:p>
    <w:p w14:paraId="2987306C" w14:textId="77777777" w:rsidR="006547A3" w:rsidRDefault="00000000">
      <w:pPr>
        <w:pStyle w:val="Bodytext10"/>
        <w:tabs>
          <w:tab w:val="left" w:pos="1118"/>
        </w:tabs>
        <w:spacing w:after="40" w:line="240" w:lineRule="auto"/>
      </w:pPr>
      <w:r>
        <w:rPr>
          <w:rStyle w:val="Bodytext1"/>
        </w:rPr>
        <w:t>DIČ:</w:t>
      </w:r>
      <w:r>
        <w:rPr>
          <w:rStyle w:val="Bodytext1"/>
        </w:rPr>
        <w:tab/>
        <w:t>CZ00844896</w:t>
      </w:r>
    </w:p>
    <w:p w14:paraId="08E32989" w14:textId="77777777" w:rsidR="001530AE" w:rsidRDefault="00000000">
      <w:pPr>
        <w:pStyle w:val="Bodytext10"/>
        <w:spacing w:after="40" w:line="240" w:lineRule="auto"/>
        <w:rPr>
          <w:rStyle w:val="Bodytext1"/>
        </w:rPr>
      </w:pPr>
      <w:r>
        <w:rPr>
          <w:rStyle w:val="Bodytext1"/>
        </w:rPr>
        <w:t xml:space="preserve">číslo účtu: </w:t>
      </w:r>
    </w:p>
    <w:p w14:paraId="42596D03" w14:textId="0DBD24AB" w:rsidR="006547A3" w:rsidRDefault="00000000">
      <w:pPr>
        <w:pStyle w:val="Bodytext10"/>
        <w:spacing w:after="40" w:line="240" w:lineRule="auto"/>
      </w:pPr>
      <w:r>
        <w:rPr>
          <w:rStyle w:val="Bodytext1"/>
        </w:rPr>
        <w:t>č. ú</w:t>
      </w:r>
      <w:proofErr w:type="spellStart"/>
      <w:r>
        <w:rPr>
          <w:rStyle w:val="Bodytext1"/>
        </w:rPr>
        <w:t>.</w:t>
      </w:r>
      <w:proofErr w:type="spellEnd"/>
      <w:r>
        <w:rPr>
          <w:rStyle w:val="Bodytext1"/>
        </w:rPr>
        <w:t xml:space="preserve"> </w:t>
      </w:r>
    </w:p>
    <w:p w14:paraId="7BB7D464" w14:textId="2C347AEE" w:rsidR="006547A3" w:rsidRDefault="00000000">
      <w:pPr>
        <w:pStyle w:val="Bodytext10"/>
        <w:spacing w:after="40" w:line="240" w:lineRule="auto"/>
      </w:pPr>
      <w:r>
        <w:rPr>
          <w:rStyle w:val="Bodytext1"/>
        </w:rPr>
        <w:t>zastoupená: ředitelem</w:t>
      </w:r>
    </w:p>
    <w:p w14:paraId="269390CC" w14:textId="77777777" w:rsidR="001530AE" w:rsidRDefault="00000000">
      <w:pPr>
        <w:pStyle w:val="Bodytext10"/>
        <w:spacing w:line="240" w:lineRule="auto"/>
        <w:rPr>
          <w:rStyle w:val="Bodytext1"/>
          <w:b/>
          <w:bCs/>
        </w:rPr>
      </w:pPr>
      <w:r>
        <w:rPr>
          <w:rStyle w:val="Bodytext1"/>
        </w:rPr>
        <w:t xml:space="preserve">dále jen </w:t>
      </w:r>
      <w:r>
        <w:rPr>
          <w:rStyle w:val="Bodytext1"/>
          <w:b/>
          <w:bCs/>
        </w:rPr>
        <w:t xml:space="preserve">„Odběratel" </w:t>
      </w:r>
    </w:p>
    <w:p w14:paraId="565C0B65" w14:textId="745CC8E3" w:rsidR="006547A3" w:rsidRDefault="00000000">
      <w:pPr>
        <w:pStyle w:val="Bodytext10"/>
        <w:spacing w:line="240" w:lineRule="auto"/>
      </w:pPr>
      <w:r>
        <w:rPr>
          <w:rStyle w:val="Bodytext1"/>
        </w:rPr>
        <w:t>uzavírají dnešního dne, měsíce a roku podle ustanovení § 1746 odst. 2 občanského zákoníku v platném znění tuto</w:t>
      </w:r>
    </w:p>
    <w:p w14:paraId="242E0054" w14:textId="77777777" w:rsidR="006547A3" w:rsidRDefault="00000000">
      <w:pPr>
        <w:pStyle w:val="Bodytext10"/>
        <w:spacing w:after="520" w:line="300" w:lineRule="auto"/>
        <w:jc w:val="center"/>
      </w:pPr>
      <w:r>
        <w:rPr>
          <w:rStyle w:val="Bodytext1"/>
          <w:b/>
          <w:bCs/>
        </w:rPr>
        <w:t>Smlouvu o poskytnutí obratového bonusu</w:t>
      </w:r>
    </w:p>
    <w:p w14:paraId="13CF59CE" w14:textId="77777777" w:rsidR="006547A3" w:rsidRDefault="00000000">
      <w:pPr>
        <w:pStyle w:val="Heading310"/>
        <w:keepNext/>
        <w:keepLines/>
      </w:pPr>
      <w:bookmarkStart w:id="3" w:name="bookmark6"/>
      <w:r>
        <w:rPr>
          <w:rStyle w:val="Heading31"/>
          <w:b/>
          <w:bCs/>
        </w:rPr>
        <w:t>Preambule</w:t>
      </w:r>
      <w:bookmarkEnd w:id="3"/>
    </w:p>
    <w:p w14:paraId="14B4EBA9" w14:textId="77777777" w:rsidR="006547A3" w:rsidRDefault="00000000">
      <w:pPr>
        <w:pStyle w:val="Bodytext10"/>
        <w:spacing w:after="520"/>
        <w:ind w:left="360" w:hanging="360"/>
        <w:jc w:val="both"/>
      </w:pPr>
      <w:r>
        <w:rPr>
          <w:rStyle w:val="Bodytext1"/>
        </w:rPr>
        <w:t xml:space="preserve">1. Odběratel odebírá z distribuční sítě v České republice zahrnující také Společnost (dále jen </w:t>
      </w:r>
      <w:r>
        <w:rPr>
          <w:rStyle w:val="Bodytext1"/>
          <w:b/>
          <w:bCs/>
        </w:rPr>
        <w:t xml:space="preserve">„Distribuční síť") </w:t>
      </w:r>
      <w:r>
        <w:rPr>
          <w:rStyle w:val="Bodytext1"/>
        </w:rPr>
        <w:t xml:space="preserve">zboží uvedené v Příloze č. 2 této smlouvy (dále jen </w:t>
      </w:r>
      <w:r>
        <w:rPr>
          <w:rStyle w:val="Bodytext1"/>
          <w:b/>
          <w:bCs/>
        </w:rPr>
        <w:t xml:space="preserve">„Zboží"), a </w:t>
      </w:r>
      <w:r>
        <w:rPr>
          <w:rStyle w:val="Bodytext1"/>
        </w:rPr>
        <w:t>to v množství potřebném pro výkon jeho činnosti. Jednotlivé kupní smlouvy na dodávky Zboží uzavřené mezi příslušným distributorem a Odběratelem nejsou touto smlouvou nijak dotčeny.</w:t>
      </w:r>
    </w:p>
    <w:p w14:paraId="7BC1723B" w14:textId="77777777" w:rsidR="006547A3" w:rsidRDefault="006547A3">
      <w:pPr>
        <w:pStyle w:val="Heading310"/>
        <w:keepNext/>
        <w:keepLines/>
        <w:numPr>
          <w:ilvl w:val="0"/>
          <w:numId w:val="1"/>
        </w:numPr>
        <w:spacing w:after="0"/>
      </w:pPr>
      <w:bookmarkStart w:id="4" w:name="bookmark8"/>
      <w:bookmarkEnd w:id="4"/>
    </w:p>
    <w:p w14:paraId="47483858" w14:textId="77777777" w:rsidR="006547A3" w:rsidRDefault="00000000">
      <w:pPr>
        <w:pStyle w:val="Heading310"/>
        <w:keepNext/>
        <w:keepLines/>
      </w:pPr>
      <w:r>
        <w:rPr>
          <w:rStyle w:val="Heading31"/>
          <w:b/>
          <w:bCs/>
        </w:rPr>
        <w:t>Předmět smlouvy</w:t>
      </w:r>
    </w:p>
    <w:p w14:paraId="38A66C00" w14:textId="77777777" w:rsidR="006547A3" w:rsidRDefault="00000000">
      <w:pPr>
        <w:pStyle w:val="Bodytext10"/>
        <w:numPr>
          <w:ilvl w:val="0"/>
          <w:numId w:val="2"/>
        </w:numPr>
        <w:tabs>
          <w:tab w:val="left" w:pos="353"/>
        </w:tabs>
        <w:ind w:left="360" w:hanging="360"/>
        <w:jc w:val="both"/>
      </w:pPr>
      <w:r>
        <w:rPr>
          <w:rStyle w:val="Bodytext1"/>
        </w:rPr>
        <w:t>Společnost se zavazuje prostřednictvím distributora poskytnout Odběrateli obratový bonus (dále jen „Bonus") za odběr Zboží za podmínek uvedených v Příloze č. 1 této smlouvy a v tam uvedené výši, pokud budou splněny všechny potřebné podmínky pro jeho poskytnutí. Bonus bude vypočten podle Přílohy č. 1 této smlouvy samostatně pro v Příloze č. 2 této smlouvy uvedené Zboží odebrané na zákaznických číslech uvedených v Příloze č. 3 této smlouvy a pro každé referenční období specifikované v Příloze č. 1 této smlouvy za předpokladu, že odběr Zboží v takovém období dosáhne minimálně obratu uvedeného v Příloze č. 1 této smlouvy pro jednotlivá pásma, resp. jej přesáhne.</w:t>
      </w:r>
    </w:p>
    <w:p w14:paraId="638A0248" w14:textId="77777777" w:rsidR="006547A3" w:rsidRDefault="00000000">
      <w:pPr>
        <w:pStyle w:val="Bodytext10"/>
        <w:numPr>
          <w:ilvl w:val="0"/>
          <w:numId w:val="2"/>
        </w:numPr>
        <w:tabs>
          <w:tab w:val="left" w:pos="353"/>
        </w:tabs>
        <w:ind w:left="360" w:hanging="360"/>
        <w:jc w:val="both"/>
      </w:pPr>
      <w:r>
        <w:rPr>
          <w:rStyle w:val="Bodytext1"/>
        </w:rPr>
        <w:t>Bonus je stanoven vždy pro konkrétní dosažený obrat v referenčním období, přičemž obrat se vypočte jako součet cen všech balení příslušného Zboží, které Odběratel nakoupí v referenčním období z distribuční sítě. Cenou balení Zboží se pro účely tohoto ustanovení rozumí cena výrobce Společnosti bez DPH platná v příslušném referenčním období.</w:t>
      </w:r>
    </w:p>
    <w:p w14:paraId="40866C88" w14:textId="77777777" w:rsidR="006547A3" w:rsidRDefault="00000000">
      <w:pPr>
        <w:pStyle w:val="Bodytext10"/>
        <w:numPr>
          <w:ilvl w:val="0"/>
          <w:numId w:val="2"/>
        </w:numPr>
        <w:tabs>
          <w:tab w:val="left" w:pos="353"/>
        </w:tabs>
        <w:spacing w:after="160" w:line="310" w:lineRule="auto"/>
        <w:ind w:left="360" w:hanging="360"/>
        <w:jc w:val="both"/>
      </w:pPr>
      <w:r>
        <w:rPr>
          <w:rStyle w:val="Bodytext1"/>
        </w:rPr>
        <w:t>Referenčním obdobím se pro účely této smlouvy rozumí období určené Přílohou č. 1. této smlouvy.</w:t>
      </w:r>
    </w:p>
    <w:p w14:paraId="7FFE7837" w14:textId="77777777" w:rsidR="006547A3" w:rsidRDefault="00000000">
      <w:pPr>
        <w:pStyle w:val="Bodytext10"/>
        <w:numPr>
          <w:ilvl w:val="0"/>
          <w:numId w:val="2"/>
        </w:numPr>
        <w:tabs>
          <w:tab w:val="left" w:pos="353"/>
        </w:tabs>
        <w:spacing w:line="298" w:lineRule="auto"/>
        <w:ind w:left="340" w:hanging="340"/>
        <w:jc w:val="both"/>
      </w:pPr>
      <w:r>
        <w:rPr>
          <w:rStyle w:val="Bodytext1"/>
        </w:rPr>
        <w:t xml:space="preserve">V případě, že si smluvní strany přejí změnit obsah příloh či některé z nich, tyto mohou být změněny pouze na základě dodatku </w:t>
      </w:r>
      <w:proofErr w:type="spellStart"/>
      <w:r>
        <w:rPr>
          <w:rStyle w:val="Bodytext1"/>
        </w:rPr>
        <w:t>ktéto</w:t>
      </w:r>
      <w:proofErr w:type="spellEnd"/>
      <w:r>
        <w:rPr>
          <w:rStyle w:val="Bodytext1"/>
        </w:rPr>
        <w:t xml:space="preserve"> smlouvě, pouze stou výjimkou, že Společnost je oprávněna jednostranným oznámením Odběrateli odstranit některé položky zboží z Přílohy č. 2 této smlouvy, pokud již nadále toto zboží nepatří do portfolia Společnosti a/nebo jej Společnost přestala dodávat na trh. Dojde-li v referenčním období k významným změnám cen Zboží, případně k významným změnám v portfoliu Zboží, vstoupí obě smluvní strany do jednání o případné revizi příloh této smlouvy.</w:t>
      </w:r>
    </w:p>
    <w:p w14:paraId="6056DBE0" w14:textId="77777777" w:rsidR="006547A3" w:rsidRDefault="00000000">
      <w:pPr>
        <w:pStyle w:val="Bodytext10"/>
        <w:numPr>
          <w:ilvl w:val="0"/>
          <w:numId w:val="2"/>
        </w:numPr>
        <w:tabs>
          <w:tab w:val="left" w:pos="353"/>
        </w:tabs>
        <w:ind w:left="340" w:hanging="340"/>
        <w:jc w:val="both"/>
      </w:pPr>
      <w:r>
        <w:rPr>
          <w:rStyle w:val="Bodytext1"/>
        </w:rPr>
        <w:lastRenderedPageBreak/>
        <w:t>Společnost na základě údajů o prodeji Zboží Odběrateli v daném referenčním období vystaví vyúčtování Bonusu a dá pokyn příslušnému (viz dále) distributorovi k vystavení a doručení opravného daňového dokladu Odběrateli. Bonus bude vyúčtován na základě opravného daňového dokladu přes zvoleného distributora. Údaje o prodeji zboží a bonusu zasílá Odběrateli Společnost, Odběratel se zavazuje e-mailem do 10 dnů po doručení údajů o prodeji zboží a bonusu doručit Společnosti (i) odsouhlasení těchto údajů nebo (</w:t>
      </w:r>
      <w:proofErr w:type="spellStart"/>
      <w:r>
        <w:rPr>
          <w:rStyle w:val="Bodytext1"/>
        </w:rPr>
        <w:t>ii</w:t>
      </w:r>
      <w:proofErr w:type="spellEnd"/>
      <w:r>
        <w:rPr>
          <w:rStyle w:val="Bodytext1"/>
        </w:rPr>
        <w:t>) věcné námitky Odběratele doplněné o odůvodnění a podklady k doložení námitek, jinak se doručené údaje o prodeji a bonusu považují za odsouhlasené 10. dnem po jejich doručení Odběrateli. Odsouhlasení oběma stranami proběhne nejpozději do 30 dnů ode dne skončení referenčního období. Za den uskutečnění zdanitelného plnění se považuje den, kdy Společnost i Odběratel písemně odsouhlasí kalkulaci Bonusu nebo 10. den po doručení údajů o prodeji zboží a bonusu Společností Odběrateli, pokud se k nim Odběratel nevyjádřil.</w:t>
      </w:r>
    </w:p>
    <w:p w14:paraId="7F3E10FD" w14:textId="77777777" w:rsidR="006547A3" w:rsidRDefault="00000000">
      <w:pPr>
        <w:pStyle w:val="Bodytext10"/>
        <w:numPr>
          <w:ilvl w:val="0"/>
          <w:numId w:val="2"/>
        </w:numPr>
        <w:tabs>
          <w:tab w:val="left" w:pos="353"/>
        </w:tabs>
        <w:spacing w:after="520"/>
        <w:ind w:left="340" w:hanging="340"/>
        <w:jc w:val="both"/>
      </w:pPr>
      <w:r>
        <w:rPr>
          <w:rStyle w:val="Bodytext1"/>
        </w:rP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 takovém případě bude Bonus vyplacen v souladu s ustanovením odstavce 5 tohoto článku, který se použije obdobně.</w:t>
      </w:r>
    </w:p>
    <w:p w14:paraId="0B1EBA57" w14:textId="77777777" w:rsidR="006547A3" w:rsidRDefault="006547A3">
      <w:pPr>
        <w:pStyle w:val="Bodytext10"/>
        <w:numPr>
          <w:ilvl w:val="0"/>
          <w:numId w:val="1"/>
        </w:numPr>
        <w:spacing w:after="0"/>
        <w:jc w:val="center"/>
      </w:pPr>
    </w:p>
    <w:p w14:paraId="34DF5BF8" w14:textId="77777777" w:rsidR="006547A3" w:rsidRDefault="00000000">
      <w:pPr>
        <w:pStyle w:val="Heading310"/>
        <w:keepNext/>
        <w:keepLines/>
      </w:pPr>
      <w:bookmarkStart w:id="5" w:name="bookmark11"/>
      <w:r>
        <w:rPr>
          <w:rStyle w:val="Heading31"/>
          <w:b/>
          <w:bCs/>
        </w:rPr>
        <w:t>Další ujednání</w:t>
      </w:r>
      <w:bookmarkEnd w:id="5"/>
    </w:p>
    <w:p w14:paraId="77D8140E" w14:textId="77777777" w:rsidR="006547A3" w:rsidRDefault="00000000">
      <w:pPr>
        <w:pStyle w:val="Bodytext10"/>
        <w:numPr>
          <w:ilvl w:val="0"/>
          <w:numId w:val="3"/>
        </w:numPr>
        <w:tabs>
          <w:tab w:val="left" w:pos="353"/>
        </w:tabs>
        <w:spacing w:line="298" w:lineRule="auto"/>
        <w:ind w:left="340" w:hanging="340"/>
        <w:jc w:val="both"/>
      </w:pPr>
      <w:r>
        <w:rPr>
          <w:rStyle w:val="Bodytext1"/>
        </w:rPr>
        <w:t xml:space="preserve">Smluvní strany shodně prohlašují, že Odběratel není a </w:t>
      </w:r>
      <w:proofErr w:type="gramStart"/>
      <w:r>
        <w:rPr>
          <w:rStyle w:val="Bodytext1"/>
        </w:rPr>
        <w:t>nebude</w:t>
      </w:r>
      <w:proofErr w:type="gramEnd"/>
      <w:r>
        <w:rPr>
          <w:rStyle w:val="Bodytext1"/>
        </w:rPr>
        <w:t xml:space="preserve"> jakkoliv zavázán odebírat Zboží, a to ani od třetích osob v jakémkoli množství a i nadále disponuje absolutní volností co do výběru Zboží, a to bez ohledu na to, zda je vyráběno či dodáváno Společností nebo jiným dodavatelem.</w:t>
      </w:r>
    </w:p>
    <w:p w14:paraId="37864A8F" w14:textId="77777777" w:rsidR="006547A3" w:rsidRDefault="00000000">
      <w:pPr>
        <w:pStyle w:val="Bodytext10"/>
        <w:numPr>
          <w:ilvl w:val="0"/>
          <w:numId w:val="3"/>
        </w:numPr>
        <w:tabs>
          <w:tab w:val="left" w:pos="353"/>
        </w:tabs>
        <w:spacing w:line="293" w:lineRule="auto"/>
        <w:ind w:left="340" w:hanging="340"/>
        <w:jc w:val="both"/>
      </w:pPr>
      <w:r>
        <w:rPr>
          <w:rStyle w:val="Bodytext1"/>
        </w:rP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35E711F6" w14:textId="77777777" w:rsidR="006547A3" w:rsidRDefault="00000000">
      <w:pPr>
        <w:pStyle w:val="Bodytext10"/>
        <w:numPr>
          <w:ilvl w:val="0"/>
          <w:numId w:val="3"/>
        </w:numPr>
        <w:tabs>
          <w:tab w:val="left" w:pos="353"/>
        </w:tabs>
        <w:spacing w:line="300" w:lineRule="auto"/>
        <w:ind w:left="340" w:hanging="340"/>
        <w:jc w:val="both"/>
      </w:pPr>
      <w:r>
        <w:rPr>
          <w:rStyle w:val="Bodytext1"/>
        </w:rPr>
        <w:t>Společnost výslovně prohlašuje, že veškeré finanční prostředky tvořící Bonus nepochází z veřejných prostředků.</w:t>
      </w:r>
    </w:p>
    <w:p w14:paraId="7CA8E52D" w14:textId="77777777" w:rsidR="006547A3" w:rsidRDefault="00000000">
      <w:pPr>
        <w:pStyle w:val="Bodytext10"/>
        <w:numPr>
          <w:ilvl w:val="0"/>
          <w:numId w:val="3"/>
        </w:numPr>
        <w:tabs>
          <w:tab w:val="left" w:pos="353"/>
        </w:tabs>
        <w:ind w:left="340" w:hanging="340"/>
        <w:jc w:val="both"/>
      </w:pPr>
      <w:r>
        <w:rPr>
          <w:rStyle w:val="Bodytext1"/>
        </w:rP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14:paraId="766CF53E" w14:textId="77777777" w:rsidR="006547A3" w:rsidRDefault="00000000">
      <w:pPr>
        <w:pStyle w:val="Bodytext10"/>
        <w:numPr>
          <w:ilvl w:val="0"/>
          <w:numId w:val="3"/>
        </w:numPr>
        <w:tabs>
          <w:tab w:val="left" w:pos="353"/>
        </w:tabs>
        <w:spacing w:line="298" w:lineRule="auto"/>
        <w:ind w:left="340" w:hanging="340"/>
        <w:jc w:val="both"/>
      </w:pPr>
      <w:r>
        <w:rPr>
          <w:rStyle w:val="Bodytext1"/>
        </w:rP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14:paraId="4D093C24" w14:textId="77777777" w:rsidR="006547A3" w:rsidRDefault="006547A3">
      <w:pPr>
        <w:pStyle w:val="Bodytext10"/>
        <w:numPr>
          <w:ilvl w:val="0"/>
          <w:numId w:val="1"/>
        </w:numPr>
        <w:spacing w:after="40" w:line="240" w:lineRule="auto"/>
        <w:jc w:val="center"/>
      </w:pPr>
    </w:p>
    <w:p w14:paraId="76550B37" w14:textId="77777777" w:rsidR="006547A3" w:rsidRDefault="00000000">
      <w:pPr>
        <w:pStyle w:val="Heading310"/>
        <w:keepNext/>
        <w:keepLines/>
        <w:spacing w:after="300" w:line="240" w:lineRule="auto"/>
      </w:pPr>
      <w:bookmarkStart w:id="6" w:name="bookmark13"/>
      <w:r>
        <w:rPr>
          <w:rStyle w:val="Heading31"/>
          <w:b/>
          <w:bCs/>
        </w:rPr>
        <w:t>Mlčenlivost</w:t>
      </w:r>
      <w:bookmarkEnd w:id="6"/>
    </w:p>
    <w:p w14:paraId="379C2A87" w14:textId="77777777" w:rsidR="006547A3" w:rsidRDefault="00000000">
      <w:pPr>
        <w:pStyle w:val="Bodytext10"/>
        <w:numPr>
          <w:ilvl w:val="0"/>
          <w:numId w:val="4"/>
        </w:numPr>
        <w:tabs>
          <w:tab w:val="left" w:pos="277"/>
        </w:tabs>
        <w:spacing w:line="298" w:lineRule="auto"/>
        <w:ind w:left="320" w:hanging="320"/>
        <w:jc w:val="both"/>
      </w:pPr>
      <w:r>
        <w:rPr>
          <w:rStyle w:val="Bodytext1"/>
        </w:rPr>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7D184618" w14:textId="77777777" w:rsidR="006547A3" w:rsidRDefault="00000000">
      <w:pPr>
        <w:pStyle w:val="Bodytext10"/>
        <w:numPr>
          <w:ilvl w:val="0"/>
          <w:numId w:val="4"/>
        </w:numPr>
        <w:tabs>
          <w:tab w:val="left" w:pos="277"/>
        </w:tabs>
        <w:spacing w:line="300" w:lineRule="auto"/>
        <w:ind w:left="320" w:hanging="320"/>
        <w:jc w:val="both"/>
      </w:pPr>
      <w:r>
        <w:rPr>
          <w:rStyle w:val="Bodytext1"/>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27460ABF" w14:textId="77777777" w:rsidR="006547A3" w:rsidRDefault="00000000">
      <w:pPr>
        <w:pStyle w:val="Bodytext10"/>
        <w:numPr>
          <w:ilvl w:val="0"/>
          <w:numId w:val="4"/>
        </w:numPr>
        <w:tabs>
          <w:tab w:val="left" w:pos="284"/>
        </w:tabs>
        <w:spacing w:after="0" w:line="298" w:lineRule="auto"/>
        <w:jc w:val="both"/>
      </w:pPr>
      <w:r>
        <w:rPr>
          <w:rStyle w:val="Bodytext1"/>
        </w:rPr>
        <w:t>Povinnost mlčenlivosti se nevztahuje na informace, které:</w:t>
      </w:r>
    </w:p>
    <w:p w14:paraId="4516F6F6" w14:textId="77777777" w:rsidR="006547A3" w:rsidRDefault="00000000">
      <w:pPr>
        <w:pStyle w:val="Bodytext10"/>
        <w:numPr>
          <w:ilvl w:val="0"/>
          <w:numId w:val="5"/>
        </w:numPr>
        <w:tabs>
          <w:tab w:val="left" w:pos="898"/>
        </w:tabs>
        <w:spacing w:after="0" w:line="298" w:lineRule="auto"/>
        <w:ind w:firstLine="560"/>
        <w:jc w:val="both"/>
      </w:pPr>
      <w:r>
        <w:rPr>
          <w:rStyle w:val="Bodytext1"/>
        </w:rPr>
        <w:lastRenderedPageBreak/>
        <w:t>jsou veřejně známé,</w:t>
      </w:r>
    </w:p>
    <w:p w14:paraId="1D0D1057" w14:textId="77777777" w:rsidR="006547A3" w:rsidRDefault="00000000">
      <w:pPr>
        <w:pStyle w:val="Bodytext10"/>
        <w:numPr>
          <w:ilvl w:val="0"/>
          <w:numId w:val="5"/>
        </w:numPr>
        <w:tabs>
          <w:tab w:val="left" w:pos="918"/>
        </w:tabs>
        <w:spacing w:after="0" w:line="310" w:lineRule="auto"/>
        <w:ind w:left="920" w:hanging="340"/>
        <w:jc w:val="both"/>
      </w:pPr>
      <w:r>
        <w:rPr>
          <w:rStyle w:val="Bodytext1"/>
        </w:rPr>
        <w:t xml:space="preserve">se stanou veřejně známými </w:t>
      </w:r>
      <w:proofErr w:type="gramStart"/>
      <w:r>
        <w:rPr>
          <w:rStyle w:val="Bodytext1"/>
        </w:rPr>
        <w:t>jinak,</w:t>
      </w:r>
      <w:proofErr w:type="gramEnd"/>
      <w:r>
        <w:rPr>
          <w:rStyle w:val="Bodytext1"/>
        </w:rPr>
        <w:t xml:space="preserve"> než porušením této povinnosti mlčenlivosti zde uvedené,</w:t>
      </w:r>
    </w:p>
    <w:p w14:paraId="19388C56" w14:textId="77777777" w:rsidR="006547A3" w:rsidRDefault="00000000">
      <w:pPr>
        <w:pStyle w:val="Bodytext10"/>
        <w:numPr>
          <w:ilvl w:val="0"/>
          <w:numId w:val="5"/>
        </w:numPr>
        <w:tabs>
          <w:tab w:val="left" w:pos="898"/>
        </w:tabs>
        <w:spacing w:after="0" w:line="300" w:lineRule="auto"/>
        <w:ind w:firstLine="560"/>
        <w:jc w:val="both"/>
      </w:pPr>
      <w:r>
        <w:rPr>
          <w:rStyle w:val="Bodytext1"/>
        </w:rPr>
        <w:t>jsou oprávněně v dispozici druhé strany před jejich poskytnutím této straně,</w:t>
      </w:r>
    </w:p>
    <w:p w14:paraId="296C7199" w14:textId="77777777" w:rsidR="006547A3" w:rsidRDefault="00000000">
      <w:pPr>
        <w:pStyle w:val="Bodytext10"/>
        <w:numPr>
          <w:ilvl w:val="0"/>
          <w:numId w:val="5"/>
        </w:numPr>
        <w:tabs>
          <w:tab w:val="left" w:pos="898"/>
        </w:tabs>
        <w:spacing w:after="0" w:line="300" w:lineRule="auto"/>
        <w:ind w:firstLine="560"/>
        <w:jc w:val="both"/>
      </w:pPr>
      <w:r>
        <w:rPr>
          <w:rStyle w:val="Bodytext1"/>
        </w:rPr>
        <w:t>strana získá od třetí osoby, která není vázána povinností mlčenlivosti,</w:t>
      </w:r>
    </w:p>
    <w:p w14:paraId="404EB075" w14:textId="77777777" w:rsidR="006547A3" w:rsidRDefault="00000000">
      <w:pPr>
        <w:pStyle w:val="Bodytext10"/>
        <w:numPr>
          <w:ilvl w:val="0"/>
          <w:numId w:val="5"/>
        </w:numPr>
        <w:tabs>
          <w:tab w:val="left" w:pos="918"/>
        </w:tabs>
        <w:spacing w:line="300" w:lineRule="auto"/>
        <w:ind w:left="920" w:hanging="340"/>
        <w:jc w:val="both"/>
      </w:pPr>
      <w:r>
        <w:rPr>
          <w:rStyle w:val="Bodytext1"/>
        </w:rPr>
        <w:t>vyžadují-li tak obecně závazné právní předpisy nebo na základě rozhodnutí soudů či správních orgánů.</w:t>
      </w:r>
    </w:p>
    <w:p w14:paraId="25D442FC" w14:textId="77777777" w:rsidR="006547A3" w:rsidRDefault="00000000">
      <w:pPr>
        <w:pStyle w:val="Bodytext10"/>
        <w:numPr>
          <w:ilvl w:val="0"/>
          <w:numId w:val="4"/>
        </w:numPr>
        <w:tabs>
          <w:tab w:val="left" w:pos="291"/>
        </w:tabs>
        <w:spacing w:line="298" w:lineRule="auto"/>
        <w:ind w:left="320" w:hanging="320"/>
        <w:jc w:val="both"/>
      </w:pPr>
      <w:r>
        <w:rPr>
          <w:rStyle w:val="Bodytext1"/>
        </w:rPr>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14:paraId="5B1A8627" w14:textId="77777777" w:rsidR="006547A3" w:rsidRDefault="00000000">
      <w:pPr>
        <w:pStyle w:val="Bodytext10"/>
        <w:numPr>
          <w:ilvl w:val="0"/>
          <w:numId w:val="4"/>
        </w:numPr>
        <w:tabs>
          <w:tab w:val="left" w:pos="284"/>
        </w:tabs>
        <w:ind w:left="320" w:hanging="320"/>
        <w:jc w:val="both"/>
      </w:pPr>
      <w:r>
        <w:rPr>
          <w:rStyle w:val="Bodytext1"/>
        </w:rPr>
        <w:t xml:space="preserve">Pro případ, že je dána zákonná povinnost k uveřejnění smlouvy v registru smluv dle zákona č. 340/2015 Sb., o zvláštních podmínkách účinnosti některých smluv, uveřejňování těchto smluv a o registru smluv (dále jen </w:t>
      </w:r>
      <w:r>
        <w:rPr>
          <w:rStyle w:val="Bodytext1"/>
          <w:b/>
          <w:bCs/>
        </w:rPr>
        <w:t xml:space="preserve">„Zákon o registru smluv"), </w:t>
      </w:r>
      <w:r>
        <w:rPr>
          <w:rStyle w:val="Bodytext1"/>
        </w:rPr>
        <w:t>smluvní strany se dohodly, že takovou povinnost splní Odběratel v souladu s ustanovením §5 odst. 2 Zákona o registru smluv, a to po anonymizaci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 který pro tento účel Odběratel Společnosti sdělí.</w:t>
      </w:r>
    </w:p>
    <w:p w14:paraId="23996062" w14:textId="77777777" w:rsidR="006547A3" w:rsidRDefault="00000000">
      <w:pPr>
        <w:pStyle w:val="Bodytext10"/>
        <w:numPr>
          <w:ilvl w:val="0"/>
          <w:numId w:val="4"/>
        </w:numPr>
        <w:tabs>
          <w:tab w:val="left" w:pos="277"/>
        </w:tabs>
        <w:ind w:left="320" w:hanging="320"/>
        <w:jc w:val="both"/>
        <w:sectPr w:rsidR="006547A3">
          <w:pgSz w:w="11900" w:h="16840"/>
          <w:pgMar w:top="921" w:right="1401" w:bottom="807" w:left="1427" w:header="493" w:footer="379" w:gutter="0"/>
          <w:pgNumType w:start="1"/>
          <w:cols w:space="720"/>
          <w:noEndnote/>
          <w:docGrid w:linePitch="360"/>
        </w:sectPr>
      </w:pPr>
      <w:r>
        <w:rPr>
          <w:rStyle w:val="Bodytext1"/>
        </w:rPr>
        <w:t>V případě, že by byla dána zákonná povinnost k uveřejnění smlouvy v registru smluv a zároveň byla smlouva shledána za neuveřejněnou prostřednictvím registru smluv, ať zcela nebo částečně, se Společnost tímto výslovně vůči Odběrateli vzdává veškerých případných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4E135DC0" w14:textId="77777777" w:rsidR="006547A3" w:rsidRDefault="006547A3">
      <w:pPr>
        <w:pStyle w:val="Bodytext10"/>
        <w:numPr>
          <w:ilvl w:val="0"/>
          <w:numId w:val="1"/>
        </w:numPr>
        <w:spacing w:after="0"/>
        <w:jc w:val="center"/>
      </w:pPr>
    </w:p>
    <w:p w14:paraId="580079E5" w14:textId="77777777" w:rsidR="006547A3" w:rsidRDefault="00000000">
      <w:pPr>
        <w:pStyle w:val="Heading310"/>
        <w:keepNext/>
        <w:keepLines/>
      </w:pPr>
      <w:bookmarkStart w:id="7" w:name="bookmark15"/>
      <w:r>
        <w:rPr>
          <w:rStyle w:val="Heading31"/>
          <w:b/>
          <w:bCs/>
        </w:rPr>
        <w:t>Závěrečná ustanovení</w:t>
      </w:r>
      <w:bookmarkEnd w:id="7"/>
    </w:p>
    <w:p w14:paraId="25513CA8" w14:textId="77777777" w:rsidR="006547A3" w:rsidRDefault="00000000">
      <w:pPr>
        <w:pStyle w:val="Bodytext10"/>
        <w:numPr>
          <w:ilvl w:val="0"/>
          <w:numId w:val="6"/>
        </w:numPr>
        <w:tabs>
          <w:tab w:val="left" w:pos="277"/>
        </w:tabs>
        <w:spacing w:line="293" w:lineRule="auto"/>
        <w:ind w:left="280" w:hanging="280"/>
        <w:jc w:val="both"/>
      </w:pPr>
      <w:r>
        <w:rPr>
          <w:rStyle w:val="Bodytext1"/>
        </w:rPr>
        <w:t>Ve všech ostatních otázkách neupravených touto smlouvou se právní vztah založený touto smlouvou řídí ustanoveními zákona č. 89/2012 Sb., občanský zákoník.</w:t>
      </w:r>
    </w:p>
    <w:p w14:paraId="3890B32D" w14:textId="77777777" w:rsidR="006547A3" w:rsidRDefault="00000000">
      <w:pPr>
        <w:pStyle w:val="Bodytext10"/>
        <w:numPr>
          <w:ilvl w:val="0"/>
          <w:numId w:val="6"/>
        </w:numPr>
        <w:tabs>
          <w:tab w:val="left" w:pos="284"/>
        </w:tabs>
        <w:ind w:left="280" w:hanging="280"/>
        <w:jc w:val="both"/>
      </w:pPr>
      <w:r>
        <w:rPr>
          <w:rStyle w:val="Bodytext1"/>
        </w:rPr>
        <w:t>Smlouva se uzavírá na dobu určitou od 1. 1. 2025 do 31. 12. 2025. Smlouva nabude účinnosti dnem podpisu, v případě, že je dána zákonná povinnost k uveřejnění v registru smluv a účinnost se ze zákona váže na den uveřejnění, potom Smlouva nabude účinnosti postupem podle Zákona o registru smluv. Smluvní strany se dohodly, že práva a povinnosti vzniklé z plnění a/nebo právních poměrů v rámci předmětu a rozsahu úpravy této smlouvy, k němuž došlo před nabytím účinnosti této smlouvy, se 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p w14:paraId="22369D64" w14:textId="06269DFB" w:rsidR="006547A3" w:rsidRDefault="00000000">
      <w:pPr>
        <w:pStyle w:val="Bodytext10"/>
        <w:numPr>
          <w:ilvl w:val="0"/>
          <w:numId w:val="6"/>
        </w:numPr>
        <w:tabs>
          <w:tab w:val="left" w:pos="277"/>
        </w:tabs>
        <w:ind w:left="280" w:hanging="280"/>
        <w:jc w:val="both"/>
      </w:pPr>
      <w:r>
        <w:rPr>
          <w:rStyle w:val="Bodytext1"/>
        </w:rPr>
        <w:t>Každá ze smluvních stran je oprávněna tuto smlouvu vypovědět písemnou výpovědí i bez uvedení důvodu doručenou druhé smluvní straně. Výpovědní doba činí 1 měsíc a počíná běžet prvním dnem kalendářního měsíce následujícího po měsíci, v němž byla výpověď</w:t>
      </w:r>
      <w:r w:rsidR="001530AE">
        <w:rPr>
          <w:rStyle w:val="Bodytext1"/>
        </w:rPr>
        <w:t xml:space="preserve"> </w:t>
      </w:r>
      <w:r>
        <w:rPr>
          <w:rStyle w:val="Bodytext1"/>
        </w:rPr>
        <w:t>doručena druhé smluvní straně.</w:t>
      </w:r>
    </w:p>
    <w:p w14:paraId="2440C937" w14:textId="77777777" w:rsidR="006547A3" w:rsidRDefault="00000000">
      <w:pPr>
        <w:pStyle w:val="Bodytext10"/>
        <w:numPr>
          <w:ilvl w:val="0"/>
          <w:numId w:val="6"/>
        </w:numPr>
        <w:tabs>
          <w:tab w:val="left" w:pos="291"/>
        </w:tabs>
        <w:spacing w:line="300" w:lineRule="auto"/>
        <w:ind w:left="280" w:hanging="280"/>
        <w:jc w:val="both"/>
      </w:pPr>
      <w:r>
        <w:rPr>
          <w:rStyle w:val="Bodytext1"/>
        </w:rPr>
        <w:t>Změny a doplňky této smlouvy mohou být činěny pouze formou číslovaných písemných dodatků, podepsaných smluvními stranami.</w:t>
      </w:r>
    </w:p>
    <w:p w14:paraId="64740C2F" w14:textId="77777777" w:rsidR="006547A3" w:rsidRDefault="00000000">
      <w:pPr>
        <w:pStyle w:val="Bodytext10"/>
        <w:numPr>
          <w:ilvl w:val="0"/>
          <w:numId w:val="6"/>
        </w:numPr>
        <w:tabs>
          <w:tab w:val="left" w:pos="284"/>
        </w:tabs>
        <w:spacing w:line="310" w:lineRule="auto"/>
        <w:ind w:left="280" w:hanging="280"/>
        <w:jc w:val="both"/>
      </w:pPr>
      <w:r>
        <w:rPr>
          <w:rStyle w:val="Bodytext1"/>
        </w:rPr>
        <w:t>Smlouva je vyhotovena ve dvou (2) stejnopisech, přičemž každá ze smluvních stran obdrží po jednom (1) z nich.</w:t>
      </w:r>
    </w:p>
    <w:p w14:paraId="530452AC" w14:textId="77777777" w:rsidR="006547A3" w:rsidRDefault="00000000">
      <w:pPr>
        <w:pStyle w:val="Bodytext10"/>
        <w:numPr>
          <w:ilvl w:val="0"/>
          <w:numId w:val="6"/>
        </w:numPr>
        <w:tabs>
          <w:tab w:val="left" w:pos="284"/>
        </w:tabs>
        <w:spacing w:line="293" w:lineRule="auto"/>
        <w:ind w:left="280" w:hanging="280"/>
        <w:jc w:val="both"/>
      </w:pPr>
      <w:r>
        <w:rPr>
          <w:rStyle w:val="Bodytext1"/>
        </w:rPr>
        <w:t>Smluvní strany prohlašují, že si smlouvu před jejím podepsáním přečetly a že její obsah odpovídá jejich pravé, vážné a svobodné vůli, což stvrzují svými níže připojenými podpisy.</w:t>
      </w:r>
    </w:p>
    <w:p w14:paraId="67E46407" w14:textId="77777777" w:rsidR="006547A3" w:rsidRDefault="00000000">
      <w:pPr>
        <w:pStyle w:val="Bodytext10"/>
        <w:numPr>
          <w:ilvl w:val="0"/>
          <w:numId w:val="6"/>
        </w:numPr>
        <w:tabs>
          <w:tab w:val="left" w:pos="284"/>
        </w:tabs>
        <w:spacing w:after="0"/>
        <w:jc w:val="both"/>
      </w:pPr>
      <w:r>
        <w:rPr>
          <w:rStyle w:val="Bodytext1"/>
        </w:rPr>
        <w:t>Nedílnou součást této smlouvy tvoří:</w:t>
      </w:r>
    </w:p>
    <w:p w14:paraId="3FDE4EB0" w14:textId="77777777" w:rsidR="006547A3" w:rsidRDefault="00000000">
      <w:pPr>
        <w:pStyle w:val="Bodytext10"/>
        <w:spacing w:after="0"/>
        <w:ind w:firstLine="820"/>
        <w:jc w:val="both"/>
      </w:pPr>
      <w:r>
        <w:rPr>
          <w:rStyle w:val="Bodytext1"/>
        </w:rPr>
        <w:t>Příloha č. 1 — Bonus</w:t>
      </w:r>
    </w:p>
    <w:p w14:paraId="4E7D903A" w14:textId="77777777" w:rsidR="006547A3" w:rsidRDefault="00000000">
      <w:pPr>
        <w:pStyle w:val="Bodytext10"/>
        <w:spacing w:after="0"/>
        <w:ind w:firstLine="820"/>
        <w:jc w:val="both"/>
      </w:pPr>
      <w:r>
        <w:rPr>
          <w:rStyle w:val="Bodytext1"/>
        </w:rPr>
        <w:t>Příloha č. 2 — Seznam Zboží</w:t>
      </w:r>
    </w:p>
    <w:p w14:paraId="4212D630" w14:textId="77777777" w:rsidR="006547A3" w:rsidRDefault="00000000">
      <w:pPr>
        <w:pStyle w:val="Bodytext10"/>
        <w:spacing w:after="0"/>
        <w:ind w:firstLine="820"/>
        <w:jc w:val="both"/>
        <w:sectPr w:rsidR="006547A3">
          <w:pgSz w:w="11900" w:h="16840"/>
          <w:pgMar w:top="889" w:right="1426" w:bottom="1143" w:left="1589" w:header="461" w:footer="715" w:gutter="0"/>
          <w:cols w:space="720"/>
          <w:noEndnote/>
          <w:docGrid w:linePitch="360"/>
        </w:sectPr>
      </w:pPr>
      <w:r>
        <w:rPr>
          <w:rStyle w:val="Bodytext1"/>
        </w:rPr>
        <w:t>Příloha č. 3 — Seznam zákaznických čísel a distributorů</w:t>
      </w:r>
    </w:p>
    <w:p w14:paraId="67AFD676" w14:textId="77777777" w:rsidR="006547A3" w:rsidRDefault="006547A3">
      <w:pPr>
        <w:spacing w:line="179" w:lineRule="exact"/>
        <w:rPr>
          <w:sz w:val="14"/>
          <w:szCs w:val="14"/>
        </w:rPr>
      </w:pPr>
    </w:p>
    <w:p w14:paraId="5FC363B4" w14:textId="77777777" w:rsidR="006547A3" w:rsidRDefault="006547A3">
      <w:pPr>
        <w:spacing w:line="1" w:lineRule="exact"/>
        <w:sectPr w:rsidR="006547A3">
          <w:type w:val="continuous"/>
          <w:pgSz w:w="11900" w:h="16840"/>
          <w:pgMar w:top="889" w:right="0" w:bottom="889" w:left="0" w:header="0" w:footer="3" w:gutter="0"/>
          <w:cols w:space="720"/>
          <w:noEndnote/>
          <w:docGrid w:linePitch="360"/>
        </w:sectPr>
      </w:pPr>
    </w:p>
    <w:p w14:paraId="77789820" w14:textId="539FDE64" w:rsidR="006547A3" w:rsidRDefault="006547A3">
      <w:pPr>
        <w:spacing w:line="360" w:lineRule="exact"/>
      </w:pPr>
    </w:p>
    <w:p w14:paraId="68710387" w14:textId="77777777" w:rsidR="006547A3" w:rsidRDefault="006547A3">
      <w:pPr>
        <w:spacing w:line="360" w:lineRule="exact"/>
      </w:pPr>
    </w:p>
    <w:p w14:paraId="52A12E47" w14:textId="77777777" w:rsidR="006547A3" w:rsidRDefault="006547A3">
      <w:pPr>
        <w:spacing w:line="360" w:lineRule="exact"/>
      </w:pPr>
    </w:p>
    <w:p w14:paraId="0C794AA3" w14:textId="77777777" w:rsidR="006547A3" w:rsidRDefault="006547A3">
      <w:pPr>
        <w:spacing w:line="360" w:lineRule="exact"/>
      </w:pPr>
    </w:p>
    <w:p w14:paraId="243117D3" w14:textId="77777777" w:rsidR="006547A3" w:rsidRDefault="006547A3">
      <w:pPr>
        <w:spacing w:line="360" w:lineRule="exact"/>
      </w:pPr>
    </w:p>
    <w:p w14:paraId="0A6BAD82" w14:textId="77777777" w:rsidR="006547A3" w:rsidRDefault="006547A3">
      <w:pPr>
        <w:spacing w:line="360" w:lineRule="exact"/>
      </w:pPr>
    </w:p>
    <w:p w14:paraId="5FEBFC03" w14:textId="77777777" w:rsidR="006547A3" w:rsidRDefault="006547A3">
      <w:pPr>
        <w:spacing w:line="360" w:lineRule="exact"/>
      </w:pPr>
    </w:p>
    <w:p w14:paraId="7B2FEA3C" w14:textId="77777777" w:rsidR="006547A3" w:rsidRDefault="006547A3">
      <w:pPr>
        <w:spacing w:line="360" w:lineRule="exact"/>
      </w:pPr>
    </w:p>
    <w:p w14:paraId="7839F641" w14:textId="77777777" w:rsidR="006547A3" w:rsidRDefault="006547A3">
      <w:pPr>
        <w:spacing w:line="360" w:lineRule="exact"/>
      </w:pPr>
    </w:p>
    <w:p w14:paraId="62A9228F" w14:textId="77777777" w:rsidR="006547A3" w:rsidRDefault="006547A3">
      <w:pPr>
        <w:spacing w:line="360" w:lineRule="exact"/>
      </w:pPr>
    </w:p>
    <w:p w14:paraId="0D9FA709" w14:textId="77777777" w:rsidR="006547A3" w:rsidRDefault="006547A3">
      <w:pPr>
        <w:spacing w:line="360" w:lineRule="exact"/>
      </w:pPr>
    </w:p>
    <w:p w14:paraId="40D7CB01" w14:textId="77777777" w:rsidR="006547A3" w:rsidRDefault="006547A3">
      <w:pPr>
        <w:spacing w:line="360" w:lineRule="exact"/>
      </w:pPr>
    </w:p>
    <w:p w14:paraId="3193AAD3" w14:textId="77777777" w:rsidR="006547A3" w:rsidRDefault="006547A3">
      <w:pPr>
        <w:spacing w:line="360" w:lineRule="exact"/>
      </w:pPr>
    </w:p>
    <w:p w14:paraId="090D22BE" w14:textId="77777777" w:rsidR="006547A3" w:rsidRDefault="006547A3">
      <w:pPr>
        <w:spacing w:after="517" w:line="1" w:lineRule="exact"/>
      </w:pPr>
    </w:p>
    <w:p w14:paraId="57FA8E71" w14:textId="77777777" w:rsidR="006547A3" w:rsidRDefault="006547A3">
      <w:pPr>
        <w:spacing w:line="1" w:lineRule="exact"/>
        <w:sectPr w:rsidR="006547A3">
          <w:type w:val="continuous"/>
          <w:pgSz w:w="11900" w:h="16840"/>
          <w:pgMar w:top="889" w:right="1426" w:bottom="889" w:left="1301" w:header="0" w:footer="3" w:gutter="0"/>
          <w:cols w:space="720"/>
          <w:noEndnote/>
          <w:docGrid w:linePitch="360"/>
        </w:sectPr>
      </w:pPr>
    </w:p>
    <w:p w14:paraId="42376077" w14:textId="77777777" w:rsidR="006547A3" w:rsidRDefault="00000000">
      <w:pPr>
        <w:pStyle w:val="Heading110"/>
        <w:keepNext/>
        <w:keepLines/>
      </w:pPr>
      <w:r>
        <w:rPr>
          <w:noProof/>
        </w:rPr>
        <w:lastRenderedPageBreak/>
        <mc:AlternateContent>
          <mc:Choice Requires="wps">
            <w:drawing>
              <wp:anchor distT="0" distB="0" distL="114300" distR="114300" simplePos="0" relativeHeight="125829380" behindDoc="0" locked="0" layoutInCell="1" allowOverlap="1" wp14:anchorId="2638791E" wp14:editId="5F8B414C">
                <wp:simplePos x="0" y="0"/>
                <wp:positionH relativeFrom="page">
                  <wp:posOffset>5977255</wp:posOffset>
                </wp:positionH>
                <wp:positionV relativeFrom="paragraph">
                  <wp:posOffset>25400</wp:posOffset>
                </wp:positionV>
                <wp:extent cx="631190" cy="1600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631190" cy="160020"/>
                        </a:xfrm>
                        <a:prstGeom prst="rect">
                          <a:avLst/>
                        </a:prstGeom>
                        <a:noFill/>
                      </wps:spPr>
                      <wps:txbx>
                        <w:txbxContent>
                          <w:p w14:paraId="3A9045CE" w14:textId="77777777" w:rsidR="006547A3" w:rsidRDefault="00000000">
                            <w:pPr>
                              <w:pStyle w:val="Bodytext10"/>
                              <w:spacing w:after="0" w:line="240" w:lineRule="auto"/>
                            </w:pPr>
                            <w:r>
                              <w:rPr>
                                <w:rStyle w:val="Bodytext1"/>
                              </w:rPr>
                              <w:t>příloha č.3</w:t>
                            </w:r>
                          </w:p>
                        </w:txbxContent>
                      </wps:txbx>
                      <wps:bodyPr wrap="none" lIns="0" tIns="0" rIns="0" bIns="0"/>
                    </wps:wsp>
                  </a:graphicData>
                </a:graphic>
              </wp:anchor>
            </w:drawing>
          </mc:Choice>
          <mc:Fallback>
            <w:pict>
              <v:shapetype w14:anchorId="2638791E" id="_x0000_t202" coordsize="21600,21600" o:spt="202" path="m,l,21600r21600,l21600,xe">
                <v:stroke joinstyle="miter"/>
                <v:path gradientshapeok="t" o:connecttype="rect"/>
              </v:shapetype>
              <v:shape id="Shape 11" o:spid="_x0000_s1026" type="#_x0000_t202" style="position:absolute;margin-left:470.65pt;margin-top:2pt;width:49.7pt;height:12.6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2dAEAAOUCAAAOAAAAZHJzL2Uyb0RvYy54bWysUlFLwzAQfhf8DyHvru2EoWXtQMZEEBXU&#10;H5CmyRpociGJa/fvvcR2E30TX66Xu/S7774v682oe3IQziswFS0WOSXCcGiV2Vf0/W13dUOJD8y0&#10;rAcjKnoUnm7qy4v1YEuxhA76VjiCIMaXg61oF4Its8zzTmjmF2CFwaYEp1nAo9tnrWMDous+W+b5&#10;KhvAtdYBF95jdfvVpHXCl1Lw8CylF4H0FUVuIUWXYhNjVq9ZuXfMdopPNNgfWGimDA49QW1ZYOTD&#10;qV9QWnEHHmRYcNAZSKm4SDvgNkX+Y5vXjlmRdkFxvD3J5P8Plj8dXu2LI2G8gxENjIIM1pcei3Gf&#10;UTodv8iUYB8lPJ5kE2MgHIur66K4xQ7HVrHK82WSNTv/bJ0P9wI0iUlFHbqSxGKHRx9wIF6dr8RZ&#10;Bnaq72P9zCRmYWzGiV4D7RFZD2hcRQ2+LEr6B4O6RI/nxM1JMyUzJGqZhk6+R7O+n9Pg8+usPwEA&#10;AP//AwBQSwMEFAAGAAgAAAAhAIGTx/rdAAAACQEAAA8AAABkcnMvZG93bnJldi54bWxMj8FOwzAQ&#10;RO9I/IO1SNyonRBBG7KpEIIjlVq4cHPibZI2Xkex04a/xz3R42hGM2+K9Wx7caLRd44RkoUCQVw7&#10;03GD8P318bAE4YNmo3vHhPBLHtbl7U2hc+POvKXTLjQilrDPNUIbwpBL6euWrPYLNxBHb+9Gq0OU&#10;YyPNqM+x3PYyVepJWt1xXGj1QG8t1cfdZBH2n5vj4X3aqkOjlvSTjDRXyQbx/m5+fQERaA7/Ybjg&#10;R3QoI1PlJjZe9AirLHmMUYQsXrr4KlPPICqEdJWCLAt5/aD8AwAA//8DAFBLAQItABQABgAIAAAA&#10;IQC2gziS/gAAAOEBAAATAAAAAAAAAAAAAAAAAAAAAABbQ29udGVudF9UeXBlc10ueG1sUEsBAi0A&#10;FAAGAAgAAAAhADj9If/WAAAAlAEAAAsAAAAAAAAAAAAAAAAALwEAAF9yZWxzLy5yZWxzUEsBAi0A&#10;FAAGAAgAAAAhAJNL47Z0AQAA5QIAAA4AAAAAAAAAAAAAAAAALgIAAGRycy9lMm9Eb2MueG1sUEsB&#10;Ai0AFAAGAAgAAAAhAIGTx/rdAAAACQEAAA8AAAAAAAAAAAAAAAAAzgMAAGRycy9kb3ducmV2Lnht&#10;bFBLBQYAAAAABAAEAPMAAADYBAAAAAA=&#10;" filled="f" stroked="f">
                <v:textbox inset="0,0,0,0">
                  <w:txbxContent>
                    <w:p w14:paraId="3A9045CE" w14:textId="77777777" w:rsidR="006547A3" w:rsidRDefault="00000000">
                      <w:pPr>
                        <w:pStyle w:val="Bodytext10"/>
                        <w:spacing w:after="0" w:line="240" w:lineRule="auto"/>
                      </w:pPr>
                      <w:r>
                        <w:rPr>
                          <w:rStyle w:val="Bodytext1"/>
                        </w:rPr>
                        <w:t>příloha č.3</w:t>
                      </w:r>
                    </w:p>
                  </w:txbxContent>
                </v:textbox>
                <w10:wrap type="square" side="left" anchorx="page"/>
              </v:shape>
            </w:pict>
          </mc:Fallback>
        </mc:AlternateContent>
      </w:r>
      <w:bookmarkStart w:id="8" w:name="bookmark17"/>
      <w:r>
        <w:rPr>
          <w:rStyle w:val="Heading11"/>
          <w:b/>
          <w:bCs/>
        </w:rPr>
        <w:t>Seznam zákaznických čísel a distributorů</w:t>
      </w:r>
      <w:bookmarkEnd w:id="8"/>
    </w:p>
    <w:p w14:paraId="617C7FC8" w14:textId="77777777" w:rsidR="006547A3" w:rsidRDefault="00000000">
      <w:pPr>
        <w:pStyle w:val="Tablecaption10"/>
        <w:ind w:left="43"/>
      </w:pPr>
      <w:r>
        <w:rPr>
          <w:rStyle w:val="Tablecaption1"/>
          <w:i/>
          <w:iCs/>
        </w:rPr>
        <w:t>Skupina výrobků č. 1+2 + 3 + 4 + 5 + 6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9"/>
        <w:gridCol w:w="994"/>
        <w:gridCol w:w="2009"/>
        <w:gridCol w:w="1915"/>
        <w:gridCol w:w="1865"/>
      </w:tblGrid>
      <w:tr w:rsidR="006547A3" w14:paraId="164B0A00" w14:textId="77777777">
        <w:tblPrEx>
          <w:tblCellMar>
            <w:top w:w="0" w:type="dxa"/>
            <w:bottom w:w="0" w:type="dxa"/>
          </w:tblCellMar>
        </w:tblPrEx>
        <w:trPr>
          <w:trHeight w:hRule="exact" w:val="569"/>
          <w:jc w:val="center"/>
        </w:trPr>
        <w:tc>
          <w:tcPr>
            <w:tcW w:w="3809" w:type="dxa"/>
            <w:tcBorders>
              <w:top w:val="single" w:sz="4" w:space="0" w:color="auto"/>
              <w:left w:val="single" w:sz="4" w:space="0" w:color="auto"/>
            </w:tcBorders>
            <w:shd w:val="clear" w:color="auto" w:fill="auto"/>
            <w:vAlign w:val="center"/>
          </w:tcPr>
          <w:p w14:paraId="003F1199" w14:textId="77777777" w:rsidR="006547A3" w:rsidRDefault="00000000">
            <w:pPr>
              <w:pStyle w:val="Other10"/>
              <w:spacing w:after="0" w:line="240" w:lineRule="auto"/>
              <w:jc w:val="center"/>
              <w:rPr>
                <w:sz w:val="20"/>
                <w:szCs w:val="20"/>
              </w:rPr>
            </w:pPr>
            <w:r>
              <w:rPr>
                <w:rStyle w:val="Other1"/>
                <w:i/>
                <w:iCs/>
                <w:sz w:val="20"/>
                <w:szCs w:val="20"/>
              </w:rPr>
              <w:t>Název</w:t>
            </w:r>
          </w:p>
        </w:tc>
        <w:tc>
          <w:tcPr>
            <w:tcW w:w="994" w:type="dxa"/>
            <w:tcBorders>
              <w:top w:val="single" w:sz="4" w:space="0" w:color="auto"/>
              <w:left w:val="single" w:sz="4" w:space="0" w:color="auto"/>
            </w:tcBorders>
            <w:shd w:val="clear" w:color="auto" w:fill="auto"/>
            <w:vAlign w:val="center"/>
          </w:tcPr>
          <w:p w14:paraId="0E92CA51" w14:textId="77777777" w:rsidR="006547A3" w:rsidRDefault="00000000">
            <w:pPr>
              <w:pStyle w:val="Other10"/>
              <w:spacing w:after="0" w:line="240" w:lineRule="auto"/>
              <w:ind w:firstLine="160"/>
              <w:rPr>
                <w:sz w:val="20"/>
                <w:szCs w:val="20"/>
              </w:rPr>
            </w:pPr>
            <w:r>
              <w:rPr>
                <w:rStyle w:val="Other1"/>
                <w:i/>
                <w:iCs/>
                <w:sz w:val="20"/>
                <w:szCs w:val="20"/>
              </w:rPr>
              <w:t>Město</w:t>
            </w:r>
          </w:p>
        </w:tc>
        <w:tc>
          <w:tcPr>
            <w:tcW w:w="2009" w:type="dxa"/>
            <w:tcBorders>
              <w:top w:val="single" w:sz="4" w:space="0" w:color="auto"/>
              <w:left w:val="single" w:sz="4" w:space="0" w:color="auto"/>
            </w:tcBorders>
            <w:shd w:val="clear" w:color="auto" w:fill="auto"/>
            <w:vAlign w:val="center"/>
          </w:tcPr>
          <w:p w14:paraId="30682D97" w14:textId="77777777" w:rsidR="006547A3" w:rsidRDefault="00000000">
            <w:pPr>
              <w:pStyle w:val="Other10"/>
              <w:spacing w:after="0" w:line="240" w:lineRule="auto"/>
              <w:jc w:val="center"/>
              <w:rPr>
                <w:sz w:val="20"/>
                <w:szCs w:val="20"/>
              </w:rPr>
            </w:pPr>
            <w:r>
              <w:rPr>
                <w:rStyle w:val="Other1"/>
                <w:i/>
                <w:iCs/>
                <w:sz w:val="20"/>
                <w:szCs w:val="20"/>
              </w:rPr>
              <w:t>Adresa</w:t>
            </w:r>
          </w:p>
        </w:tc>
        <w:tc>
          <w:tcPr>
            <w:tcW w:w="1915" w:type="dxa"/>
            <w:tcBorders>
              <w:top w:val="single" w:sz="4" w:space="0" w:color="auto"/>
              <w:left w:val="single" w:sz="4" w:space="0" w:color="auto"/>
            </w:tcBorders>
            <w:shd w:val="clear" w:color="auto" w:fill="auto"/>
            <w:vAlign w:val="center"/>
          </w:tcPr>
          <w:p w14:paraId="27A9C97D" w14:textId="77777777" w:rsidR="006547A3" w:rsidRDefault="00000000">
            <w:pPr>
              <w:pStyle w:val="Other10"/>
              <w:spacing w:after="0" w:line="240" w:lineRule="auto"/>
              <w:ind w:firstLine="420"/>
              <w:rPr>
                <w:sz w:val="20"/>
                <w:szCs w:val="20"/>
              </w:rPr>
            </w:pPr>
            <w:r>
              <w:rPr>
                <w:rStyle w:val="Other1"/>
                <w:i/>
                <w:iCs/>
                <w:sz w:val="20"/>
                <w:szCs w:val="20"/>
              </w:rPr>
              <w:t>Distributor</w:t>
            </w:r>
          </w:p>
        </w:tc>
        <w:tc>
          <w:tcPr>
            <w:tcW w:w="1865" w:type="dxa"/>
            <w:tcBorders>
              <w:top w:val="single" w:sz="4" w:space="0" w:color="auto"/>
              <w:left w:val="single" w:sz="4" w:space="0" w:color="auto"/>
              <w:right w:val="single" w:sz="4" w:space="0" w:color="auto"/>
            </w:tcBorders>
            <w:shd w:val="clear" w:color="auto" w:fill="auto"/>
            <w:vAlign w:val="center"/>
          </w:tcPr>
          <w:p w14:paraId="37A37EFA" w14:textId="77777777" w:rsidR="006547A3" w:rsidRDefault="00000000">
            <w:pPr>
              <w:pStyle w:val="Other10"/>
              <w:spacing w:after="0" w:line="240" w:lineRule="auto"/>
              <w:jc w:val="center"/>
              <w:rPr>
                <w:sz w:val="20"/>
                <w:szCs w:val="20"/>
              </w:rPr>
            </w:pPr>
            <w:r>
              <w:rPr>
                <w:rStyle w:val="Other1"/>
                <w:i/>
                <w:iCs/>
                <w:sz w:val="20"/>
                <w:szCs w:val="20"/>
              </w:rPr>
              <w:t>Zákaznické číslo</w:t>
            </w:r>
          </w:p>
        </w:tc>
      </w:tr>
      <w:tr w:rsidR="006547A3" w14:paraId="0CABB4A6" w14:textId="77777777">
        <w:tblPrEx>
          <w:tblCellMar>
            <w:top w:w="0" w:type="dxa"/>
            <w:bottom w:w="0" w:type="dxa"/>
          </w:tblCellMar>
        </w:tblPrEx>
        <w:trPr>
          <w:trHeight w:hRule="exact" w:val="288"/>
          <w:jc w:val="center"/>
        </w:trPr>
        <w:tc>
          <w:tcPr>
            <w:tcW w:w="3809" w:type="dxa"/>
            <w:tcBorders>
              <w:top w:val="single" w:sz="4" w:space="0" w:color="auto"/>
              <w:left w:val="single" w:sz="4" w:space="0" w:color="auto"/>
            </w:tcBorders>
            <w:shd w:val="clear" w:color="auto" w:fill="auto"/>
            <w:vAlign w:val="bottom"/>
          </w:tcPr>
          <w:p w14:paraId="57CB58EC" w14:textId="77777777" w:rsidR="006547A3" w:rsidRDefault="00000000">
            <w:pPr>
              <w:pStyle w:val="Other10"/>
              <w:spacing w:after="0" w:line="240" w:lineRule="auto"/>
            </w:pPr>
            <w:r>
              <w:rPr>
                <w:rStyle w:val="Other1"/>
              </w:rPr>
              <w:t xml:space="preserve">Nemocniční </w:t>
            </w:r>
            <w:proofErr w:type="gramStart"/>
            <w:r>
              <w:rPr>
                <w:rStyle w:val="Other1"/>
              </w:rPr>
              <w:t>lékárna - veřejná</w:t>
            </w:r>
            <w:proofErr w:type="gramEnd"/>
            <w:r>
              <w:rPr>
                <w:rStyle w:val="Other1"/>
              </w:rPr>
              <w:t xml:space="preserve"> část</w:t>
            </w:r>
          </w:p>
        </w:tc>
        <w:tc>
          <w:tcPr>
            <w:tcW w:w="994" w:type="dxa"/>
            <w:tcBorders>
              <w:top w:val="single" w:sz="4" w:space="0" w:color="auto"/>
              <w:left w:val="single" w:sz="4" w:space="0" w:color="auto"/>
            </w:tcBorders>
            <w:shd w:val="clear" w:color="auto" w:fill="auto"/>
            <w:vAlign w:val="bottom"/>
          </w:tcPr>
          <w:p w14:paraId="2F1F350B" w14:textId="77777777" w:rsidR="006547A3" w:rsidRDefault="00000000">
            <w:pPr>
              <w:pStyle w:val="Other10"/>
              <w:spacing w:after="0" w:line="240" w:lineRule="auto"/>
            </w:pPr>
            <w:r>
              <w:rPr>
                <w:rStyle w:val="Other1"/>
              </w:rPr>
              <w:t>Havířov</w:t>
            </w:r>
          </w:p>
        </w:tc>
        <w:tc>
          <w:tcPr>
            <w:tcW w:w="2009" w:type="dxa"/>
            <w:tcBorders>
              <w:top w:val="single" w:sz="4" w:space="0" w:color="auto"/>
              <w:left w:val="single" w:sz="4" w:space="0" w:color="auto"/>
            </w:tcBorders>
            <w:shd w:val="clear" w:color="auto" w:fill="auto"/>
            <w:vAlign w:val="bottom"/>
          </w:tcPr>
          <w:p w14:paraId="5B42C2A2" w14:textId="77777777" w:rsidR="006547A3" w:rsidRDefault="00000000">
            <w:pPr>
              <w:pStyle w:val="Other10"/>
              <w:spacing w:after="0" w:line="240" w:lineRule="auto"/>
            </w:pPr>
            <w:r>
              <w:rPr>
                <w:rStyle w:val="Other1"/>
              </w:rPr>
              <w:t>Dělnická 1132/24</w:t>
            </w:r>
          </w:p>
        </w:tc>
        <w:tc>
          <w:tcPr>
            <w:tcW w:w="1915" w:type="dxa"/>
            <w:tcBorders>
              <w:top w:val="single" w:sz="4" w:space="0" w:color="auto"/>
              <w:left w:val="single" w:sz="4" w:space="0" w:color="auto"/>
            </w:tcBorders>
            <w:shd w:val="clear" w:color="auto" w:fill="auto"/>
            <w:vAlign w:val="bottom"/>
          </w:tcPr>
          <w:p w14:paraId="2B31A050" w14:textId="77777777" w:rsidR="006547A3" w:rsidRDefault="00000000">
            <w:pPr>
              <w:pStyle w:val="Other10"/>
              <w:spacing w:after="0" w:line="240" w:lineRule="auto"/>
            </w:pPr>
            <w:proofErr w:type="spellStart"/>
            <w:r>
              <w:rPr>
                <w:rStyle w:val="Other1"/>
              </w:rPr>
              <w:t>Alliance</w:t>
            </w:r>
            <w:proofErr w:type="spellEnd"/>
            <w:r>
              <w:rPr>
                <w:rStyle w:val="Other1"/>
              </w:rPr>
              <w:t xml:space="preserve"> </w:t>
            </w:r>
            <w:proofErr w:type="spellStart"/>
            <w:r>
              <w:rPr>
                <w:rStyle w:val="Other1"/>
              </w:rPr>
              <w:t>Healthcare</w:t>
            </w:r>
            <w:proofErr w:type="spellEnd"/>
          </w:p>
        </w:tc>
        <w:tc>
          <w:tcPr>
            <w:tcW w:w="1865" w:type="dxa"/>
            <w:tcBorders>
              <w:top w:val="single" w:sz="4" w:space="0" w:color="auto"/>
              <w:left w:val="single" w:sz="4" w:space="0" w:color="auto"/>
              <w:right w:val="single" w:sz="4" w:space="0" w:color="auto"/>
            </w:tcBorders>
            <w:shd w:val="clear" w:color="auto" w:fill="auto"/>
            <w:vAlign w:val="bottom"/>
          </w:tcPr>
          <w:p w14:paraId="29DFE046" w14:textId="77777777" w:rsidR="006547A3" w:rsidRDefault="00000000">
            <w:pPr>
              <w:pStyle w:val="Other10"/>
              <w:spacing w:after="0" w:line="240" w:lineRule="auto"/>
              <w:ind w:firstLine="600"/>
            </w:pPr>
            <w:r>
              <w:rPr>
                <w:rStyle w:val="Other1"/>
              </w:rPr>
              <w:t>078855</w:t>
            </w:r>
          </w:p>
        </w:tc>
      </w:tr>
      <w:tr w:rsidR="006547A3" w14:paraId="4C82B894" w14:textId="77777777">
        <w:tblPrEx>
          <w:tblCellMar>
            <w:top w:w="0" w:type="dxa"/>
            <w:bottom w:w="0" w:type="dxa"/>
          </w:tblCellMar>
        </w:tblPrEx>
        <w:trPr>
          <w:trHeight w:hRule="exact" w:val="295"/>
          <w:jc w:val="center"/>
        </w:trPr>
        <w:tc>
          <w:tcPr>
            <w:tcW w:w="3809" w:type="dxa"/>
            <w:tcBorders>
              <w:top w:val="single" w:sz="4" w:space="0" w:color="auto"/>
              <w:left w:val="single" w:sz="4" w:space="0" w:color="auto"/>
            </w:tcBorders>
            <w:shd w:val="clear" w:color="auto" w:fill="auto"/>
            <w:vAlign w:val="bottom"/>
          </w:tcPr>
          <w:p w14:paraId="323E0844" w14:textId="77777777" w:rsidR="006547A3" w:rsidRDefault="00000000">
            <w:pPr>
              <w:pStyle w:val="Other10"/>
              <w:spacing w:after="0" w:line="240" w:lineRule="auto"/>
            </w:pPr>
            <w:r>
              <w:rPr>
                <w:rStyle w:val="Other1"/>
              </w:rPr>
              <w:t xml:space="preserve">Nemocniční </w:t>
            </w:r>
            <w:proofErr w:type="gramStart"/>
            <w:r>
              <w:rPr>
                <w:rStyle w:val="Other1"/>
              </w:rPr>
              <w:t>lékárna - veřejná</w:t>
            </w:r>
            <w:proofErr w:type="gramEnd"/>
            <w:r>
              <w:rPr>
                <w:rStyle w:val="Other1"/>
              </w:rPr>
              <w:t xml:space="preserve"> část</w:t>
            </w:r>
          </w:p>
        </w:tc>
        <w:tc>
          <w:tcPr>
            <w:tcW w:w="994" w:type="dxa"/>
            <w:tcBorders>
              <w:top w:val="single" w:sz="4" w:space="0" w:color="auto"/>
              <w:left w:val="single" w:sz="4" w:space="0" w:color="auto"/>
            </w:tcBorders>
            <w:shd w:val="clear" w:color="auto" w:fill="auto"/>
            <w:vAlign w:val="bottom"/>
          </w:tcPr>
          <w:p w14:paraId="10CFE8E1" w14:textId="77777777" w:rsidR="006547A3" w:rsidRDefault="00000000">
            <w:pPr>
              <w:pStyle w:val="Other10"/>
              <w:spacing w:after="0" w:line="240" w:lineRule="auto"/>
            </w:pPr>
            <w:r>
              <w:rPr>
                <w:rStyle w:val="Other1"/>
              </w:rPr>
              <w:t>Havířov</w:t>
            </w:r>
          </w:p>
        </w:tc>
        <w:tc>
          <w:tcPr>
            <w:tcW w:w="2009" w:type="dxa"/>
            <w:tcBorders>
              <w:top w:val="single" w:sz="4" w:space="0" w:color="auto"/>
              <w:left w:val="single" w:sz="4" w:space="0" w:color="auto"/>
            </w:tcBorders>
            <w:shd w:val="clear" w:color="auto" w:fill="auto"/>
            <w:vAlign w:val="bottom"/>
          </w:tcPr>
          <w:p w14:paraId="1325C0DB" w14:textId="77777777" w:rsidR="006547A3" w:rsidRDefault="00000000">
            <w:pPr>
              <w:pStyle w:val="Other10"/>
              <w:spacing w:after="0" w:line="240" w:lineRule="auto"/>
            </w:pPr>
            <w:r>
              <w:rPr>
                <w:rStyle w:val="Other1"/>
              </w:rPr>
              <w:t>Dělnická 1132/24</w:t>
            </w:r>
          </w:p>
        </w:tc>
        <w:tc>
          <w:tcPr>
            <w:tcW w:w="1915" w:type="dxa"/>
            <w:tcBorders>
              <w:top w:val="single" w:sz="4" w:space="0" w:color="auto"/>
              <w:left w:val="single" w:sz="4" w:space="0" w:color="auto"/>
            </w:tcBorders>
            <w:shd w:val="clear" w:color="auto" w:fill="auto"/>
            <w:vAlign w:val="bottom"/>
          </w:tcPr>
          <w:p w14:paraId="2A643F1E" w14:textId="77777777" w:rsidR="006547A3" w:rsidRDefault="00000000">
            <w:pPr>
              <w:pStyle w:val="Other10"/>
              <w:spacing w:after="0" w:line="240" w:lineRule="auto"/>
              <w:jc w:val="center"/>
            </w:pPr>
            <w:r>
              <w:rPr>
                <w:rStyle w:val="Other1"/>
              </w:rPr>
              <w:t>Pharmos</w:t>
            </w:r>
          </w:p>
        </w:tc>
        <w:tc>
          <w:tcPr>
            <w:tcW w:w="1865" w:type="dxa"/>
            <w:tcBorders>
              <w:top w:val="single" w:sz="4" w:space="0" w:color="auto"/>
              <w:left w:val="single" w:sz="4" w:space="0" w:color="auto"/>
              <w:right w:val="single" w:sz="4" w:space="0" w:color="auto"/>
            </w:tcBorders>
            <w:shd w:val="clear" w:color="auto" w:fill="auto"/>
            <w:vAlign w:val="bottom"/>
          </w:tcPr>
          <w:p w14:paraId="62D62628" w14:textId="77777777" w:rsidR="006547A3" w:rsidRDefault="00000000">
            <w:pPr>
              <w:pStyle w:val="Other10"/>
              <w:spacing w:after="0" w:line="240" w:lineRule="auto"/>
              <w:ind w:firstLine="600"/>
            </w:pPr>
            <w:r>
              <w:rPr>
                <w:rStyle w:val="Other1"/>
              </w:rPr>
              <w:t>703075</w:t>
            </w:r>
          </w:p>
        </w:tc>
      </w:tr>
      <w:tr w:rsidR="006547A3" w14:paraId="43CFDD0E" w14:textId="77777777">
        <w:tblPrEx>
          <w:tblCellMar>
            <w:top w:w="0" w:type="dxa"/>
            <w:bottom w:w="0" w:type="dxa"/>
          </w:tblCellMar>
        </w:tblPrEx>
        <w:trPr>
          <w:trHeight w:hRule="exact" w:val="288"/>
          <w:jc w:val="center"/>
        </w:trPr>
        <w:tc>
          <w:tcPr>
            <w:tcW w:w="3809" w:type="dxa"/>
            <w:tcBorders>
              <w:top w:val="single" w:sz="4" w:space="0" w:color="auto"/>
              <w:left w:val="single" w:sz="4" w:space="0" w:color="auto"/>
            </w:tcBorders>
            <w:shd w:val="clear" w:color="auto" w:fill="auto"/>
            <w:vAlign w:val="bottom"/>
          </w:tcPr>
          <w:p w14:paraId="4DEFDCC2" w14:textId="77777777" w:rsidR="006547A3" w:rsidRDefault="00000000">
            <w:pPr>
              <w:pStyle w:val="Other10"/>
              <w:spacing w:after="0" w:line="240" w:lineRule="auto"/>
            </w:pPr>
            <w:r>
              <w:rPr>
                <w:rStyle w:val="Other1"/>
              </w:rPr>
              <w:t xml:space="preserve">Nemocniční </w:t>
            </w:r>
            <w:proofErr w:type="gramStart"/>
            <w:r>
              <w:rPr>
                <w:rStyle w:val="Other1"/>
              </w:rPr>
              <w:t>lékárna - veřejná</w:t>
            </w:r>
            <w:proofErr w:type="gramEnd"/>
            <w:r>
              <w:rPr>
                <w:rStyle w:val="Other1"/>
              </w:rPr>
              <w:t xml:space="preserve"> část</w:t>
            </w:r>
          </w:p>
        </w:tc>
        <w:tc>
          <w:tcPr>
            <w:tcW w:w="994" w:type="dxa"/>
            <w:tcBorders>
              <w:top w:val="single" w:sz="4" w:space="0" w:color="auto"/>
              <w:left w:val="single" w:sz="4" w:space="0" w:color="auto"/>
            </w:tcBorders>
            <w:shd w:val="clear" w:color="auto" w:fill="auto"/>
            <w:vAlign w:val="bottom"/>
          </w:tcPr>
          <w:p w14:paraId="05F4D3E6" w14:textId="77777777" w:rsidR="006547A3" w:rsidRDefault="00000000">
            <w:pPr>
              <w:pStyle w:val="Other10"/>
              <w:spacing w:after="0" w:line="240" w:lineRule="auto"/>
            </w:pPr>
            <w:r>
              <w:rPr>
                <w:rStyle w:val="Other1"/>
              </w:rPr>
              <w:t>Havířov</w:t>
            </w:r>
          </w:p>
        </w:tc>
        <w:tc>
          <w:tcPr>
            <w:tcW w:w="2009" w:type="dxa"/>
            <w:tcBorders>
              <w:top w:val="single" w:sz="4" w:space="0" w:color="auto"/>
              <w:left w:val="single" w:sz="4" w:space="0" w:color="auto"/>
            </w:tcBorders>
            <w:shd w:val="clear" w:color="auto" w:fill="auto"/>
            <w:vAlign w:val="bottom"/>
          </w:tcPr>
          <w:p w14:paraId="1C71D4BB" w14:textId="77777777" w:rsidR="006547A3" w:rsidRDefault="00000000">
            <w:pPr>
              <w:pStyle w:val="Other10"/>
              <w:spacing w:after="0" w:line="240" w:lineRule="auto"/>
            </w:pPr>
            <w:r>
              <w:rPr>
                <w:rStyle w:val="Other1"/>
              </w:rPr>
              <w:t>Dělnická 1132/24</w:t>
            </w:r>
          </w:p>
        </w:tc>
        <w:tc>
          <w:tcPr>
            <w:tcW w:w="1915" w:type="dxa"/>
            <w:tcBorders>
              <w:top w:val="single" w:sz="4" w:space="0" w:color="auto"/>
              <w:left w:val="single" w:sz="4" w:space="0" w:color="auto"/>
            </w:tcBorders>
            <w:shd w:val="clear" w:color="auto" w:fill="auto"/>
            <w:vAlign w:val="bottom"/>
          </w:tcPr>
          <w:p w14:paraId="55FAC9EC" w14:textId="77777777" w:rsidR="006547A3" w:rsidRDefault="00000000">
            <w:pPr>
              <w:pStyle w:val="Other10"/>
              <w:spacing w:after="0" w:line="240" w:lineRule="auto"/>
              <w:jc w:val="center"/>
            </w:pPr>
            <w:r>
              <w:rPr>
                <w:rStyle w:val="Other1"/>
              </w:rPr>
              <w:t>Phoenix</w:t>
            </w:r>
          </w:p>
        </w:tc>
        <w:tc>
          <w:tcPr>
            <w:tcW w:w="1865" w:type="dxa"/>
            <w:tcBorders>
              <w:top w:val="single" w:sz="4" w:space="0" w:color="auto"/>
              <w:left w:val="single" w:sz="4" w:space="0" w:color="auto"/>
              <w:right w:val="single" w:sz="4" w:space="0" w:color="auto"/>
            </w:tcBorders>
            <w:shd w:val="clear" w:color="auto" w:fill="auto"/>
            <w:vAlign w:val="bottom"/>
          </w:tcPr>
          <w:p w14:paraId="11214139" w14:textId="77777777" w:rsidR="006547A3" w:rsidRDefault="00000000">
            <w:pPr>
              <w:pStyle w:val="Other10"/>
              <w:spacing w:after="0" w:line="240" w:lineRule="auto"/>
              <w:ind w:firstLine="560"/>
            </w:pPr>
            <w:r>
              <w:rPr>
                <w:rStyle w:val="Other1"/>
              </w:rPr>
              <w:t>1701852</w:t>
            </w:r>
          </w:p>
        </w:tc>
      </w:tr>
      <w:tr w:rsidR="006547A3" w14:paraId="05A763B3" w14:textId="77777777">
        <w:tblPrEx>
          <w:tblCellMar>
            <w:top w:w="0" w:type="dxa"/>
            <w:bottom w:w="0" w:type="dxa"/>
          </w:tblCellMar>
        </w:tblPrEx>
        <w:trPr>
          <w:trHeight w:hRule="exact" w:val="295"/>
          <w:jc w:val="center"/>
        </w:trPr>
        <w:tc>
          <w:tcPr>
            <w:tcW w:w="3809" w:type="dxa"/>
            <w:tcBorders>
              <w:top w:val="single" w:sz="4" w:space="0" w:color="auto"/>
              <w:left w:val="single" w:sz="4" w:space="0" w:color="auto"/>
            </w:tcBorders>
            <w:shd w:val="clear" w:color="auto" w:fill="auto"/>
            <w:vAlign w:val="bottom"/>
          </w:tcPr>
          <w:p w14:paraId="18604884" w14:textId="77777777" w:rsidR="006547A3" w:rsidRDefault="00000000">
            <w:pPr>
              <w:pStyle w:val="Other10"/>
              <w:spacing w:after="0" w:line="240" w:lineRule="auto"/>
            </w:pPr>
            <w:r>
              <w:rPr>
                <w:rStyle w:val="Other1"/>
              </w:rPr>
              <w:t xml:space="preserve">Nemocniční </w:t>
            </w:r>
            <w:proofErr w:type="gramStart"/>
            <w:r>
              <w:rPr>
                <w:rStyle w:val="Other1"/>
              </w:rPr>
              <w:t>lékárna - veřejná</w:t>
            </w:r>
            <w:proofErr w:type="gramEnd"/>
            <w:r>
              <w:rPr>
                <w:rStyle w:val="Other1"/>
              </w:rPr>
              <w:t xml:space="preserve"> část</w:t>
            </w:r>
          </w:p>
        </w:tc>
        <w:tc>
          <w:tcPr>
            <w:tcW w:w="994" w:type="dxa"/>
            <w:tcBorders>
              <w:top w:val="single" w:sz="4" w:space="0" w:color="auto"/>
              <w:left w:val="single" w:sz="4" w:space="0" w:color="auto"/>
            </w:tcBorders>
            <w:shd w:val="clear" w:color="auto" w:fill="auto"/>
            <w:vAlign w:val="bottom"/>
          </w:tcPr>
          <w:p w14:paraId="40CAAF0B" w14:textId="77777777" w:rsidR="006547A3" w:rsidRDefault="00000000">
            <w:pPr>
              <w:pStyle w:val="Other10"/>
              <w:spacing w:after="0" w:line="240" w:lineRule="auto"/>
            </w:pPr>
            <w:r>
              <w:rPr>
                <w:rStyle w:val="Other1"/>
              </w:rPr>
              <w:t>Havířov</w:t>
            </w:r>
          </w:p>
        </w:tc>
        <w:tc>
          <w:tcPr>
            <w:tcW w:w="2009" w:type="dxa"/>
            <w:tcBorders>
              <w:top w:val="single" w:sz="4" w:space="0" w:color="auto"/>
              <w:left w:val="single" w:sz="4" w:space="0" w:color="auto"/>
            </w:tcBorders>
            <w:shd w:val="clear" w:color="auto" w:fill="auto"/>
            <w:vAlign w:val="bottom"/>
          </w:tcPr>
          <w:p w14:paraId="3AAA1097" w14:textId="77777777" w:rsidR="006547A3" w:rsidRDefault="00000000">
            <w:pPr>
              <w:pStyle w:val="Other10"/>
              <w:spacing w:after="0" w:line="240" w:lineRule="auto"/>
            </w:pPr>
            <w:r>
              <w:rPr>
                <w:rStyle w:val="Other1"/>
              </w:rPr>
              <w:t>Dělnická 1132/24</w:t>
            </w:r>
          </w:p>
        </w:tc>
        <w:tc>
          <w:tcPr>
            <w:tcW w:w="1915" w:type="dxa"/>
            <w:tcBorders>
              <w:top w:val="single" w:sz="4" w:space="0" w:color="auto"/>
              <w:left w:val="single" w:sz="4" w:space="0" w:color="auto"/>
            </w:tcBorders>
            <w:shd w:val="clear" w:color="auto" w:fill="auto"/>
            <w:vAlign w:val="bottom"/>
          </w:tcPr>
          <w:p w14:paraId="294B314C" w14:textId="77777777" w:rsidR="006547A3" w:rsidRDefault="00000000">
            <w:pPr>
              <w:pStyle w:val="Other10"/>
              <w:spacing w:after="0" w:line="240" w:lineRule="auto"/>
              <w:jc w:val="center"/>
            </w:pPr>
            <w:r>
              <w:rPr>
                <w:rStyle w:val="Other1"/>
              </w:rPr>
              <w:t>Phoenix</w:t>
            </w:r>
          </w:p>
        </w:tc>
        <w:tc>
          <w:tcPr>
            <w:tcW w:w="1865" w:type="dxa"/>
            <w:tcBorders>
              <w:top w:val="single" w:sz="4" w:space="0" w:color="auto"/>
              <w:left w:val="single" w:sz="4" w:space="0" w:color="auto"/>
              <w:right w:val="single" w:sz="4" w:space="0" w:color="auto"/>
            </w:tcBorders>
            <w:shd w:val="clear" w:color="auto" w:fill="auto"/>
            <w:vAlign w:val="bottom"/>
          </w:tcPr>
          <w:p w14:paraId="44AEEC2D" w14:textId="77777777" w:rsidR="006547A3" w:rsidRDefault="00000000">
            <w:pPr>
              <w:pStyle w:val="Other10"/>
              <w:spacing w:after="0" w:line="240" w:lineRule="auto"/>
              <w:ind w:firstLine="560"/>
            </w:pPr>
            <w:r>
              <w:rPr>
                <w:rStyle w:val="Other1"/>
              </w:rPr>
              <w:t>1701853</w:t>
            </w:r>
          </w:p>
        </w:tc>
      </w:tr>
      <w:tr w:rsidR="006547A3" w14:paraId="1860CA0D" w14:textId="77777777">
        <w:tblPrEx>
          <w:tblCellMar>
            <w:top w:w="0" w:type="dxa"/>
            <w:bottom w:w="0" w:type="dxa"/>
          </w:tblCellMar>
        </w:tblPrEx>
        <w:trPr>
          <w:trHeight w:hRule="exact" w:val="288"/>
          <w:jc w:val="center"/>
        </w:trPr>
        <w:tc>
          <w:tcPr>
            <w:tcW w:w="3809" w:type="dxa"/>
            <w:tcBorders>
              <w:top w:val="single" w:sz="4" w:space="0" w:color="auto"/>
              <w:left w:val="single" w:sz="4" w:space="0" w:color="auto"/>
            </w:tcBorders>
            <w:shd w:val="clear" w:color="auto" w:fill="auto"/>
            <w:vAlign w:val="bottom"/>
          </w:tcPr>
          <w:p w14:paraId="01A88C58" w14:textId="77777777" w:rsidR="006547A3" w:rsidRDefault="00000000">
            <w:pPr>
              <w:pStyle w:val="Other10"/>
              <w:spacing w:after="0" w:line="240" w:lineRule="auto"/>
            </w:pPr>
            <w:r>
              <w:rPr>
                <w:rStyle w:val="Other1"/>
              </w:rPr>
              <w:t xml:space="preserve">Nemocniční </w:t>
            </w:r>
            <w:proofErr w:type="gramStart"/>
            <w:r>
              <w:rPr>
                <w:rStyle w:val="Other1"/>
              </w:rPr>
              <w:t>lékárna - veřejná</w:t>
            </w:r>
            <w:proofErr w:type="gramEnd"/>
            <w:r>
              <w:rPr>
                <w:rStyle w:val="Other1"/>
              </w:rPr>
              <w:t xml:space="preserve"> část</w:t>
            </w:r>
          </w:p>
        </w:tc>
        <w:tc>
          <w:tcPr>
            <w:tcW w:w="994" w:type="dxa"/>
            <w:tcBorders>
              <w:top w:val="single" w:sz="4" w:space="0" w:color="auto"/>
              <w:left w:val="single" w:sz="4" w:space="0" w:color="auto"/>
            </w:tcBorders>
            <w:shd w:val="clear" w:color="auto" w:fill="auto"/>
            <w:vAlign w:val="bottom"/>
          </w:tcPr>
          <w:p w14:paraId="3A1CB5EE" w14:textId="77777777" w:rsidR="006547A3" w:rsidRDefault="00000000">
            <w:pPr>
              <w:pStyle w:val="Other10"/>
              <w:spacing w:after="0" w:line="240" w:lineRule="auto"/>
            </w:pPr>
            <w:r>
              <w:rPr>
                <w:rStyle w:val="Other1"/>
              </w:rPr>
              <w:t>Havířov</w:t>
            </w:r>
          </w:p>
        </w:tc>
        <w:tc>
          <w:tcPr>
            <w:tcW w:w="2009" w:type="dxa"/>
            <w:tcBorders>
              <w:top w:val="single" w:sz="4" w:space="0" w:color="auto"/>
              <w:left w:val="single" w:sz="4" w:space="0" w:color="auto"/>
            </w:tcBorders>
            <w:shd w:val="clear" w:color="auto" w:fill="auto"/>
            <w:vAlign w:val="bottom"/>
          </w:tcPr>
          <w:p w14:paraId="7A7C3A82" w14:textId="77777777" w:rsidR="006547A3" w:rsidRDefault="00000000">
            <w:pPr>
              <w:pStyle w:val="Other10"/>
              <w:spacing w:after="0" w:line="240" w:lineRule="auto"/>
            </w:pPr>
            <w:r>
              <w:rPr>
                <w:rStyle w:val="Other1"/>
              </w:rPr>
              <w:t>Dělnická 1132/24</w:t>
            </w:r>
          </w:p>
        </w:tc>
        <w:tc>
          <w:tcPr>
            <w:tcW w:w="1915" w:type="dxa"/>
            <w:tcBorders>
              <w:top w:val="single" w:sz="4" w:space="0" w:color="auto"/>
              <w:left w:val="single" w:sz="4" w:space="0" w:color="auto"/>
            </w:tcBorders>
            <w:shd w:val="clear" w:color="auto" w:fill="auto"/>
            <w:vAlign w:val="bottom"/>
          </w:tcPr>
          <w:p w14:paraId="0ADD8ABC" w14:textId="77777777" w:rsidR="006547A3" w:rsidRDefault="00000000">
            <w:pPr>
              <w:pStyle w:val="Other10"/>
              <w:spacing w:after="0" w:line="240" w:lineRule="auto"/>
              <w:jc w:val="center"/>
            </w:pPr>
            <w:r>
              <w:rPr>
                <w:rStyle w:val="Other1"/>
              </w:rPr>
              <w:t>Via Pharma</w:t>
            </w:r>
          </w:p>
        </w:tc>
        <w:tc>
          <w:tcPr>
            <w:tcW w:w="1865" w:type="dxa"/>
            <w:tcBorders>
              <w:top w:val="single" w:sz="4" w:space="0" w:color="auto"/>
              <w:left w:val="single" w:sz="4" w:space="0" w:color="auto"/>
              <w:right w:val="single" w:sz="4" w:space="0" w:color="auto"/>
            </w:tcBorders>
            <w:shd w:val="clear" w:color="auto" w:fill="auto"/>
            <w:vAlign w:val="bottom"/>
          </w:tcPr>
          <w:p w14:paraId="70200B5C" w14:textId="77777777" w:rsidR="006547A3" w:rsidRDefault="00000000">
            <w:pPr>
              <w:pStyle w:val="Other10"/>
              <w:spacing w:after="0" w:line="240" w:lineRule="auto"/>
              <w:ind w:firstLine="380"/>
            </w:pPr>
            <w:r>
              <w:rPr>
                <w:rStyle w:val="Other1"/>
              </w:rPr>
              <w:t>0000097511</w:t>
            </w:r>
          </w:p>
        </w:tc>
      </w:tr>
      <w:tr w:rsidR="006547A3" w14:paraId="0D05D283" w14:textId="77777777">
        <w:tblPrEx>
          <w:tblCellMar>
            <w:top w:w="0" w:type="dxa"/>
            <w:bottom w:w="0" w:type="dxa"/>
          </w:tblCellMar>
        </w:tblPrEx>
        <w:trPr>
          <w:trHeight w:hRule="exact" w:val="295"/>
          <w:jc w:val="center"/>
        </w:trPr>
        <w:tc>
          <w:tcPr>
            <w:tcW w:w="3809" w:type="dxa"/>
            <w:tcBorders>
              <w:top w:val="single" w:sz="4" w:space="0" w:color="auto"/>
              <w:left w:val="single" w:sz="4" w:space="0" w:color="auto"/>
            </w:tcBorders>
            <w:shd w:val="clear" w:color="auto" w:fill="auto"/>
          </w:tcPr>
          <w:p w14:paraId="5434117D" w14:textId="77777777" w:rsidR="006547A3" w:rsidRDefault="006547A3">
            <w:pPr>
              <w:rPr>
                <w:sz w:val="10"/>
                <w:szCs w:val="10"/>
              </w:rPr>
            </w:pPr>
          </w:p>
        </w:tc>
        <w:tc>
          <w:tcPr>
            <w:tcW w:w="994" w:type="dxa"/>
            <w:tcBorders>
              <w:top w:val="single" w:sz="4" w:space="0" w:color="auto"/>
              <w:left w:val="single" w:sz="4" w:space="0" w:color="auto"/>
            </w:tcBorders>
            <w:shd w:val="clear" w:color="auto" w:fill="auto"/>
          </w:tcPr>
          <w:p w14:paraId="6C8FCE29" w14:textId="77777777" w:rsidR="006547A3" w:rsidRDefault="006547A3">
            <w:pPr>
              <w:rPr>
                <w:sz w:val="10"/>
                <w:szCs w:val="10"/>
              </w:rPr>
            </w:pPr>
          </w:p>
        </w:tc>
        <w:tc>
          <w:tcPr>
            <w:tcW w:w="2009" w:type="dxa"/>
            <w:tcBorders>
              <w:top w:val="single" w:sz="4" w:space="0" w:color="auto"/>
              <w:left w:val="single" w:sz="4" w:space="0" w:color="auto"/>
            </w:tcBorders>
            <w:shd w:val="clear" w:color="auto" w:fill="auto"/>
          </w:tcPr>
          <w:p w14:paraId="63E4EE5B" w14:textId="77777777" w:rsidR="006547A3" w:rsidRDefault="006547A3">
            <w:pPr>
              <w:rPr>
                <w:sz w:val="10"/>
                <w:szCs w:val="10"/>
              </w:rPr>
            </w:pPr>
          </w:p>
        </w:tc>
        <w:tc>
          <w:tcPr>
            <w:tcW w:w="1915" w:type="dxa"/>
            <w:tcBorders>
              <w:top w:val="single" w:sz="4" w:space="0" w:color="auto"/>
              <w:left w:val="single" w:sz="4" w:space="0" w:color="auto"/>
            </w:tcBorders>
            <w:shd w:val="clear" w:color="auto" w:fill="auto"/>
          </w:tcPr>
          <w:p w14:paraId="609915D0" w14:textId="77777777" w:rsidR="006547A3" w:rsidRDefault="006547A3">
            <w:pPr>
              <w:rPr>
                <w:sz w:val="10"/>
                <w:szCs w:val="10"/>
              </w:rPr>
            </w:pPr>
          </w:p>
        </w:tc>
        <w:tc>
          <w:tcPr>
            <w:tcW w:w="1865" w:type="dxa"/>
            <w:tcBorders>
              <w:top w:val="single" w:sz="4" w:space="0" w:color="auto"/>
              <w:left w:val="single" w:sz="4" w:space="0" w:color="auto"/>
              <w:right w:val="single" w:sz="4" w:space="0" w:color="auto"/>
            </w:tcBorders>
            <w:shd w:val="clear" w:color="auto" w:fill="auto"/>
          </w:tcPr>
          <w:p w14:paraId="6BE6B6F5" w14:textId="77777777" w:rsidR="006547A3" w:rsidRDefault="006547A3">
            <w:pPr>
              <w:rPr>
                <w:sz w:val="10"/>
                <w:szCs w:val="10"/>
              </w:rPr>
            </w:pPr>
          </w:p>
        </w:tc>
      </w:tr>
      <w:tr w:rsidR="006547A3" w14:paraId="16EA91A9" w14:textId="77777777">
        <w:tblPrEx>
          <w:tblCellMar>
            <w:top w:w="0" w:type="dxa"/>
            <w:bottom w:w="0" w:type="dxa"/>
          </w:tblCellMar>
        </w:tblPrEx>
        <w:trPr>
          <w:trHeight w:hRule="exact" w:val="295"/>
          <w:jc w:val="center"/>
        </w:trPr>
        <w:tc>
          <w:tcPr>
            <w:tcW w:w="3809" w:type="dxa"/>
            <w:tcBorders>
              <w:top w:val="single" w:sz="4" w:space="0" w:color="auto"/>
              <w:left w:val="single" w:sz="4" w:space="0" w:color="auto"/>
            </w:tcBorders>
            <w:shd w:val="clear" w:color="auto" w:fill="auto"/>
          </w:tcPr>
          <w:p w14:paraId="3369A8A8" w14:textId="77777777" w:rsidR="006547A3" w:rsidRDefault="006547A3">
            <w:pPr>
              <w:rPr>
                <w:sz w:val="10"/>
                <w:szCs w:val="10"/>
              </w:rPr>
            </w:pPr>
          </w:p>
        </w:tc>
        <w:tc>
          <w:tcPr>
            <w:tcW w:w="994" w:type="dxa"/>
            <w:tcBorders>
              <w:top w:val="single" w:sz="4" w:space="0" w:color="auto"/>
              <w:left w:val="single" w:sz="4" w:space="0" w:color="auto"/>
            </w:tcBorders>
            <w:shd w:val="clear" w:color="auto" w:fill="auto"/>
          </w:tcPr>
          <w:p w14:paraId="7778104A" w14:textId="77777777" w:rsidR="006547A3" w:rsidRDefault="006547A3">
            <w:pPr>
              <w:rPr>
                <w:sz w:val="10"/>
                <w:szCs w:val="10"/>
              </w:rPr>
            </w:pPr>
          </w:p>
        </w:tc>
        <w:tc>
          <w:tcPr>
            <w:tcW w:w="2009" w:type="dxa"/>
            <w:tcBorders>
              <w:top w:val="single" w:sz="4" w:space="0" w:color="auto"/>
              <w:left w:val="single" w:sz="4" w:space="0" w:color="auto"/>
            </w:tcBorders>
            <w:shd w:val="clear" w:color="auto" w:fill="auto"/>
          </w:tcPr>
          <w:p w14:paraId="5415F03A" w14:textId="77777777" w:rsidR="006547A3" w:rsidRDefault="006547A3">
            <w:pPr>
              <w:rPr>
                <w:sz w:val="10"/>
                <w:szCs w:val="10"/>
              </w:rPr>
            </w:pPr>
          </w:p>
        </w:tc>
        <w:tc>
          <w:tcPr>
            <w:tcW w:w="1915" w:type="dxa"/>
            <w:tcBorders>
              <w:top w:val="single" w:sz="4" w:space="0" w:color="auto"/>
              <w:left w:val="single" w:sz="4" w:space="0" w:color="auto"/>
            </w:tcBorders>
            <w:shd w:val="clear" w:color="auto" w:fill="auto"/>
          </w:tcPr>
          <w:p w14:paraId="68ADB8F6" w14:textId="77777777" w:rsidR="006547A3" w:rsidRDefault="006547A3">
            <w:pPr>
              <w:rPr>
                <w:sz w:val="10"/>
                <w:szCs w:val="10"/>
              </w:rPr>
            </w:pPr>
          </w:p>
        </w:tc>
        <w:tc>
          <w:tcPr>
            <w:tcW w:w="1865" w:type="dxa"/>
            <w:tcBorders>
              <w:top w:val="single" w:sz="4" w:space="0" w:color="auto"/>
              <w:left w:val="single" w:sz="4" w:space="0" w:color="auto"/>
              <w:right w:val="single" w:sz="4" w:space="0" w:color="auto"/>
            </w:tcBorders>
            <w:shd w:val="clear" w:color="auto" w:fill="auto"/>
          </w:tcPr>
          <w:p w14:paraId="6B9D91AD" w14:textId="77777777" w:rsidR="006547A3" w:rsidRDefault="006547A3">
            <w:pPr>
              <w:rPr>
                <w:sz w:val="10"/>
                <w:szCs w:val="10"/>
              </w:rPr>
            </w:pPr>
          </w:p>
        </w:tc>
      </w:tr>
      <w:tr w:rsidR="006547A3" w14:paraId="48403F03" w14:textId="77777777">
        <w:tblPrEx>
          <w:tblCellMar>
            <w:top w:w="0" w:type="dxa"/>
            <w:bottom w:w="0" w:type="dxa"/>
          </w:tblCellMar>
        </w:tblPrEx>
        <w:trPr>
          <w:trHeight w:hRule="exact" w:val="288"/>
          <w:jc w:val="center"/>
        </w:trPr>
        <w:tc>
          <w:tcPr>
            <w:tcW w:w="3809" w:type="dxa"/>
            <w:tcBorders>
              <w:top w:val="single" w:sz="4" w:space="0" w:color="auto"/>
              <w:left w:val="single" w:sz="4" w:space="0" w:color="auto"/>
            </w:tcBorders>
            <w:shd w:val="clear" w:color="auto" w:fill="auto"/>
          </w:tcPr>
          <w:p w14:paraId="3FE2C4F4" w14:textId="77777777" w:rsidR="006547A3" w:rsidRDefault="006547A3">
            <w:pPr>
              <w:rPr>
                <w:sz w:val="10"/>
                <w:szCs w:val="10"/>
              </w:rPr>
            </w:pPr>
          </w:p>
        </w:tc>
        <w:tc>
          <w:tcPr>
            <w:tcW w:w="994" w:type="dxa"/>
            <w:tcBorders>
              <w:top w:val="single" w:sz="4" w:space="0" w:color="auto"/>
              <w:left w:val="single" w:sz="4" w:space="0" w:color="auto"/>
            </w:tcBorders>
            <w:shd w:val="clear" w:color="auto" w:fill="auto"/>
          </w:tcPr>
          <w:p w14:paraId="79AAA632" w14:textId="77777777" w:rsidR="006547A3" w:rsidRDefault="006547A3">
            <w:pPr>
              <w:rPr>
                <w:sz w:val="10"/>
                <w:szCs w:val="10"/>
              </w:rPr>
            </w:pPr>
          </w:p>
        </w:tc>
        <w:tc>
          <w:tcPr>
            <w:tcW w:w="2009" w:type="dxa"/>
            <w:tcBorders>
              <w:top w:val="single" w:sz="4" w:space="0" w:color="auto"/>
              <w:left w:val="single" w:sz="4" w:space="0" w:color="auto"/>
            </w:tcBorders>
            <w:shd w:val="clear" w:color="auto" w:fill="auto"/>
          </w:tcPr>
          <w:p w14:paraId="22B6B909" w14:textId="77777777" w:rsidR="006547A3" w:rsidRDefault="006547A3">
            <w:pPr>
              <w:rPr>
                <w:sz w:val="10"/>
                <w:szCs w:val="10"/>
              </w:rPr>
            </w:pPr>
          </w:p>
        </w:tc>
        <w:tc>
          <w:tcPr>
            <w:tcW w:w="1915" w:type="dxa"/>
            <w:tcBorders>
              <w:top w:val="single" w:sz="4" w:space="0" w:color="auto"/>
              <w:left w:val="single" w:sz="4" w:space="0" w:color="auto"/>
            </w:tcBorders>
            <w:shd w:val="clear" w:color="auto" w:fill="auto"/>
          </w:tcPr>
          <w:p w14:paraId="56E56543" w14:textId="77777777" w:rsidR="006547A3" w:rsidRDefault="006547A3">
            <w:pPr>
              <w:rPr>
                <w:sz w:val="10"/>
                <w:szCs w:val="10"/>
              </w:rPr>
            </w:pPr>
          </w:p>
        </w:tc>
        <w:tc>
          <w:tcPr>
            <w:tcW w:w="1865" w:type="dxa"/>
            <w:tcBorders>
              <w:top w:val="single" w:sz="4" w:space="0" w:color="auto"/>
              <w:left w:val="single" w:sz="4" w:space="0" w:color="auto"/>
              <w:right w:val="single" w:sz="4" w:space="0" w:color="auto"/>
            </w:tcBorders>
            <w:shd w:val="clear" w:color="auto" w:fill="auto"/>
          </w:tcPr>
          <w:p w14:paraId="396A90C2" w14:textId="77777777" w:rsidR="006547A3" w:rsidRDefault="006547A3">
            <w:pPr>
              <w:rPr>
                <w:sz w:val="10"/>
                <w:szCs w:val="10"/>
              </w:rPr>
            </w:pPr>
          </w:p>
        </w:tc>
      </w:tr>
      <w:tr w:rsidR="006547A3" w14:paraId="1C1AC1B8" w14:textId="77777777">
        <w:tblPrEx>
          <w:tblCellMar>
            <w:top w:w="0" w:type="dxa"/>
            <w:bottom w:w="0" w:type="dxa"/>
          </w:tblCellMar>
        </w:tblPrEx>
        <w:trPr>
          <w:trHeight w:hRule="exact" w:val="288"/>
          <w:jc w:val="center"/>
        </w:trPr>
        <w:tc>
          <w:tcPr>
            <w:tcW w:w="3809" w:type="dxa"/>
            <w:tcBorders>
              <w:top w:val="single" w:sz="4" w:space="0" w:color="auto"/>
              <w:left w:val="single" w:sz="4" w:space="0" w:color="auto"/>
            </w:tcBorders>
            <w:shd w:val="clear" w:color="auto" w:fill="auto"/>
          </w:tcPr>
          <w:p w14:paraId="63BE3C71" w14:textId="77777777" w:rsidR="006547A3" w:rsidRDefault="006547A3">
            <w:pPr>
              <w:rPr>
                <w:sz w:val="10"/>
                <w:szCs w:val="10"/>
              </w:rPr>
            </w:pPr>
          </w:p>
        </w:tc>
        <w:tc>
          <w:tcPr>
            <w:tcW w:w="994" w:type="dxa"/>
            <w:tcBorders>
              <w:top w:val="single" w:sz="4" w:space="0" w:color="auto"/>
              <w:left w:val="single" w:sz="4" w:space="0" w:color="auto"/>
            </w:tcBorders>
            <w:shd w:val="clear" w:color="auto" w:fill="auto"/>
          </w:tcPr>
          <w:p w14:paraId="1421998A" w14:textId="77777777" w:rsidR="006547A3" w:rsidRDefault="006547A3">
            <w:pPr>
              <w:rPr>
                <w:sz w:val="10"/>
                <w:szCs w:val="10"/>
              </w:rPr>
            </w:pPr>
          </w:p>
        </w:tc>
        <w:tc>
          <w:tcPr>
            <w:tcW w:w="2009" w:type="dxa"/>
            <w:tcBorders>
              <w:top w:val="single" w:sz="4" w:space="0" w:color="auto"/>
              <w:left w:val="single" w:sz="4" w:space="0" w:color="auto"/>
            </w:tcBorders>
            <w:shd w:val="clear" w:color="auto" w:fill="auto"/>
          </w:tcPr>
          <w:p w14:paraId="680BF87B" w14:textId="77777777" w:rsidR="006547A3" w:rsidRDefault="006547A3">
            <w:pPr>
              <w:rPr>
                <w:sz w:val="10"/>
                <w:szCs w:val="10"/>
              </w:rPr>
            </w:pPr>
          </w:p>
        </w:tc>
        <w:tc>
          <w:tcPr>
            <w:tcW w:w="1915" w:type="dxa"/>
            <w:tcBorders>
              <w:top w:val="single" w:sz="4" w:space="0" w:color="auto"/>
              <w:left w:val="single" w:sz="4" w:space="0" w:color="auto"/>
            </w:tcBorders>
            <w:shd w:val="clear" w:color="auto" w:fill="auto"/>
          </w:tcPr>
          <w:p w14:paraId="2E486D1D" w14:textId="77777777" w:rsidR="006547A3" w:rsidRDefault="006547A3">
            <w:pPr>
              <w:rPr>
                <w:sz w:val="10"/>
                <w:szCs w:val="10"/>
              </w:rPr>
            </w:pPr>
          </w:p>
        </w:tc>
        <w:tc>
          <w:tcPr>
            <w:tcW w:w="1865" w:type="dxa"/>
            <w:tcBorders>
              <w:top w:val="single" w:sz="4" w:space="0" w:color="auto"/>
              <w:left w:val="single" w:sz="4" w:space="0" w:color="auto"/>
              <w:right w:val="single" w:sz="4" w:space="0" w:color="auto"/>
            </w:tcBorders>
            <w:shd w:val="clear" w:color="auto" w:fill="auto"/>
          </w:tcPr>
          <w:p w14:paraId="2B8EB0A0" w14:textId="77777777" w:rsidR="006547A3" w:rsidRDefault="006547A3">
            <w:pPr>
              <w:rPr>
                <w:sz w:val="10"/>
                <w:szCs w:val="10"/>
              </w:rPr>
            </w:pPr>
          </w:p>
        </w:tc>
      </w:tr>
      <w:tr w:rsidR="006547A3" w14:paraId="608D623C" w14:textId="77777777">
        <w:tblPrEx>
          <w:tblCellMar>
            <w:top w:w="0" w:type="dxa"/>
            <w:bottom w:w="0" w:type="dxa"/>
          </w:tblCellMar>
        </w:tblPrEx>
        <w:trPr>
          <w:trHeight w:hRule="exact" w:val="338"/>
          <w:jc w:val="center"/>
        </w:trPr>
        <w:tc>
          <w:tcPr>
            <w:tcW w:w="3809" w:type="dxa"/>
            <w:tcBorders>
              <w:top w:val="single" w:sz="4" w:space="0" w:color="auto"/>
              <w:left w:val="single" w:sz="4" w:space="0" w:color="auto"/>
              <w:bottom w:val="single" w:sz="4" w:space="0" w:color="auto"/>
            </w:tcBorders>
            <w:shd w:val="clear" w:color="auto" w:fill="auto"/>
          </w:tcPr>
          <w:p w14:paraId="49867048" w14:textId="77777777" w:rsidR="006547A3" w:rsidRDefault="006547A3">
            <w:pPr>
              <w:rPr>
                <w:sz w:val="10"/>
                <w:szCs w:val="10"/>
              </w:rPr>
            </w:pPr>
          </w:p>
        </w:tc>
        <w:tc>
          <w:tcPr>
            <w:tcW w:w="994" w:type="dxa"/>
            <w:tcBorders>
              <w:top w:val="single" w:sz="4" w:space="0" w:color="auto"/>
              <w:left w:val="single" w:sz="4" w:space="0" w:color="auto"/>
              <w:bottom w:val="single" w:sz="4" w:space="0" w:color="auto"/>
            </w:tcBorders>
            <w:shd w:val="clear" w:color="auto" w:fill="auto"/>
          </w:tcPr>
          <w:p w14:paraId="458E5C16" w14:textId="77777777" w:rsidR="006547A3" w:rsidRDefault="006547A3">
            <w:pPr>
              <w:rPr>
                <w:sz w:val="10"/>
                <w:szCs w:val="10"/>
              </w:rPr>
            </w:pPr>
          </w:p>
        </w:tc>
        <w:tc>
          <w:tcPr>
            <w:tcW w:w="2009" w:type="dxa"/>
            <w:tcBorders>
              <w:top w:val="single" w:sz="4" w:space="0" w:color="auto"/>
              <w:left w:val="single" w:sz="4" w:space="0" w:color="auto"/>
              <w:bottom w:val="single" w:sz="4" w:space="0" w:color="auto"/>
            </w:tcBorders>
            <w:shd w:val="clear" w:color="auto" w:fill="auto"/>
          </w:tcPr>
          <w:p w14:paraId="016FA158" w14:textId="77777777" w:rsidR="006547A3" w:rsidRDefault="006547A3">
            <w:pPr>
              <w:rPr>
                <w:sz w:val="10"/>
                <w:szCs w:val="10"/>
              </w:rPr>
            </w:pPr>
          </w:p>
        </w:tc>
        <w:tc>
          <w:tcPr>
            <w:tcW w:w="1915" w:type="dxa"/>
            <w:tcBorders>
              <w:top w:val="single" w:sz="4" w:space="0" w:color="auto"/>
              <w:left w:val="single" w:sz="4" w:space="0" w:color="auto"/>
              <w:bottom w:val="single" w:sz="4" w:space="0" w:color="auto"/>
            </w:tcBorders>
            <w:shd w:val="clear" w:color="auto" w:fill="auto"/>
          </w:tcPr>
          <w:p w14:paraId="328D6F48" w14:textId="77777777" w:rsidR="006547A3" w:rsidRDefault="006547A3">
            <w:pPr>
              <w:rPr>
                <w:sz w:val="10"/>
                <w:szCs w:val="1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76F2ED7A" w14:textId="77777777" w:rsidR="006547A3" w:rsidRDefault="006547A3">
            <w:pPr>
              <w:rPr>
                <w:sz w:val="10"/>
                <w:szCs w:val="10"/>
              </w:rPr>
            </w:pPr>
          </w:p>
        </w:tc>
      </w:tr>
    </w:tbl>
    <w:p w14:paraId="2AFE723D" w14:textId="77777777" w:rsidR="00E463F4" w:rsidRDefault="00E463F4"/>
    <w:sectPr w:rsidR="00E463F4">
      <w:pgSz w:w="11900" w:h="16840"/>
      <w:pgMar w:top="611" w:right="658" w:bottom="611" w:left="651" w:header="183" w:footer="1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BCB11" w14:textId="77777777" w:rsidR="00E463F4" w:rsidRDefault="00E463F4">
      <w:r>
        <w:separator/>
      </w:r>
    </w:p>
  </w:endnote>
  <w:endnote w:type="continuationSeparator" w:id="0">
    <w:p w14:paraId="0E458E5D" w14:textId="77777777" w:rsidR="00E463F4" w:rsidRDefault="00E4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8D4F8" w14:textId="77777777" w:rsidR="00E463F4" w:rsidRDefault="00E463F4"/>
  </w:footnote>
  <w:footnote w:type="continuationSeparator" w:id="0">
    <w:p w14:paraId="6FCD4D9F" w14:textId="77777777" w:rsidR="00E463F4" w:rsidRDefault="00E46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5340"/>
    <w:multiLevelType w:val="multilevel"/>
    <w:tmpl w:val="20583E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041C9"/>
    <w:multiLevelType w:val="multilevel"/>
    <w:tmpl w:val="15FE1A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BF3AF0"/>
    <w:multiLevelType w:val="multilevel"/>
    <w:tmpl w:val="73168CC2"/>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D8361C"/>
    <w:multiLevelType w:val="multilevel"/>
    <w:tmpl w:val="0CF8D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5D17CE"/>
    <w:multiLevelType w:val="multilevel"/>
    <w:tmpl w:val="D67855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C05DA0"/>
    <w:multiLevelType w:val="multilevel"/>
    <w:tmpl w:val="FE385A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469989">
    <w:abstractNumId w:val="2"/>
  </w:num>
  <w:num w:numId="2" w16cid:durableId="1346588544">
    <w:abstractNumId w:val="0"/>
  </w:num>
  <w:num w:numId="3" w16cid:durableId="776413466">
    <w:abstractNumId w:val="3"/>
  </w:num>
  <w:num w:numId="4" w16cid:durableId="368067906">
    <w:abstractNumId w:val="1"/>
  </w:num>
  <w:num w:numId="5" w16cid:durableId="1688407677">
    <w:abstractNumId w:val="5"/>
  </w:num>
  <w:num w:numId="6" w16cid:durableId="1566254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A3"/>
    <w:rsid w:val="001530AE"/>
    <w:rsid w:val="006538E8"/>
    <w:rsid w:val="006547A3"/>
    <w:rsid w:val="00E46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D65B"/>
  <w15:docId w15:val="{7F339A49-A1FE-4941-8393-E7647C4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2"/>
      <w:szCs w:val="2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single"/>
    </w:rPr>
  </w:style>
  <w:style w:type="character" w:customStyle="1" w:styleId="Tablecaption1">
    <w:name w:val="Table caption|1_"/>
    <w:basedOn w:val="Standardnpsmoodstavce"/>
    <w:link w:val="Tablecaption10"/>
    <w:rPr>
      <w:rFonts w:ascii="Arial" w:eastAsia="Arial" w:hAnsi="Arial" w:cs="Arial"/>
      <w:b w:val="0"/>
      <w:bCs w:val="0"/>
      <w:i/>
      <w:iCs/>
      <w:smallCaps w:val="0"/>
      <w:strike w:val="0"/>
      <w:sz w:val="20"/>
      <w:szCs w:val="20"/>
      <w:u w:val="none"/>
    </w:rPr>
  </w:style>
  <w:style w:type="paragraph" w:customStyle="1" w:styleId="Bodytext20">
    <w:name w:val="Body text|2"/>
    <w:basedOn w:val="Normln"/>
    <w:link w:val="Bodytext2"/>
    <w:pPr>
      <w:spacing w:after="180"/>
    </w:pPr>
    <w:rPr>
      <w:rFonts w:ascii="Arial" w:eastAsia="Arial" w:hAnsi="Arial" w:cs="Arial"/>
      <w:sz w:val="14"/>
      <w:szCs w:val="14"/>
    </w:rPr>
  </w:style>
  <w:style w:type="paragraph" w:customStyle="1" w:styleId="Bodytext10">
    <w:name w:val="Body text|1"/>
    <w:basedOn w:val="Normln"/>
    <w:link w:val="Bodytext1"/>
    <w:pPr>
      <w:spacing w:after="260" w:line="295" w:lineRule="auto"/>
    </w:pPr>
    <w:rPr>
      <w:rFonts w:ascii="Arial" w:eastAsia="Arial" w:hAnsi="Arial" w:cs="Arial"/>
      <w:sz w:val="19"/>
      <w:szCs w:val="19"/>
    </w:rPr>
  </w:style>
  <w:style w:type="paragraph" w:customStyle="1" w:styleId="Heading210">
    <w:name w:val="Heading #2|1"/>
    <w:basedOn w:val="Normln"/>
    <w:link w:val="Heading21"/>
    <w:pPr>
      <w:spacing w:after="260"/>
      <w:jc w:val="center"/>
      <w:outlineLvl w:val="1"/>
    </w:pPr>
    <w:rPr>
      <w:rFonts w:ascii="Arial" w:eastAsia="Arial" w:hAnsi="Arial" w:cs="Arial"/>
      <w:sz w:val="22"/>
      <w:szCs w:val="22"/>
    </w:rPr>
  </w:style>
  <w:style w:type="paragraph" w:customStyle="1" w:styleId="Heading310">
    <w:name w:val="Heading #3|1"/>
    <w:basedOn w:val="Normln"/>
    <w:link w:val="Heading31"/>
    <w:pPr>
      <w:spacing w:after="260" w:line="295" w:lineRule="auto"/>
      <w:jc w:val="center"/>
      <w:outlineLvl w:val="2"/>
    </w:pPr>
    <w:rPr>
      <w:rFonts w:ascii="Arial" w:eastAsia="Arial" w:hAnsi="Arial" w:cs="Arial"/>
      <w:b/>
      <w:bCs/>
      <w:sz w:val="19"/>
      <w:szCs w:val="19"/>
    </w:rPr>
  </w:style>
  <w:style w:type="paragraph" w:customStyle="1" w:styleId="Other10">
    <w:name w:val="Other|1"/>
    <w:basedOn w:val="Normln"/>
    <w:link w:val="Other1"/>
    <w:pPr>
      <w:spacing w:after="260" w:line="295" w:lineRule="auto"/>
    </w:pPr>
    <w:rPr>
      <w:rFonts w:ascii="Arial" w:eastAsia="Arial" w:hAnsi="Arial" w:cs="Arial"/>
      <w:sz w:val="19"/>
      <w:szCs w:val="19"/>
    </w:rPr>
  </w:style>
  <w:style w:type="paragraph" w:customStyle="1" w:styleId="Heading110">
    <w:name w:val="Heading #1|1"/>
    <w:basedOn w:val="Normln"/>
    <w:link w:val="Heading11"/>
    <w:pPr>
      <w:spacing w:after="480"/>
      <w:outlineLvl w:val="0"/>
    </w:pPr>
    <w:rPr>
      <w:rFonts w:ascii="Arial" w:eastAsia="Arial" w:hAnsi="Arial" w:cs="Arial"/>
      <w:b/>
      <w:bCs/>
      <w:sz w:val="26"/>
      <w:szCs w:val="26"/>
      <w:u w:val="single"/>
    </w:rPr>
  </w:style>
  <w:style w:type="paragraph" w:customStyle="1" w:styleId="Tablecaption10">
    <w:name w:val="Table caption|1"/>
    <w:basedOn w:val="Normln"/>
    <w:link w:val="Tablecaption1"/>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1571</Words>
  <Characters>9269</Characters>
  <Application>Microsoft Office Word</Application>
  <DocSecurity>0</DocSecurity>
  <Lines>77</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2024-12-18T13:31:00Z</dcterms:created>
  <dcterms:modified xsi:type="dcterms:W3CDTF">2024-12-18T13:31:00Z</dcterms:modified>
</cp:coreProperties>
</file>