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55BFA" w14:textId="77777777" w:rsidR="006F500A" w:rsidRDefault="00867120">
      <w:pPr>
        <w:pStyle w:val="Nadpis1"/>
        <w:spacing w:before="36"/>
      </w:pPr>
      <w:r>
        <w:t>Dodatek č. 1</w:t>
      </w:r>
    </w:p>
    <w:p w14:paraId="51855BFB" w14:textId="77777777" w:rsidR="006F500A" w:rsidRDefault="00867120">
      <w:pPr>
        <w:ind w:left="2802" w:right="2798"/>
        <w:jc w:val="center"/>
        <w:rPr>
          <w:b/>
          <w:sz w:val="28"/>
        </w:rPr>
      </w:pPr>
      <w:r>
        <w:rPr>
          <w:b/>
          <w:sz w:val="28"/>
        </w:rPr>
        <w:t>ke smlouvě o podnájmu prostor</w:t>
      </w:r>
    </w:p>
    <w:p w14:paraId="51855BFC" w14:textId="77777777" w:rsidR="006F500A" w:rsidRDefault="00867120">
      <w:pPr>
        <w:spacing w:after="18"/>
        <w:ind w:left="2801" w:right="2798"/>
        <w:jc w:val="center"/>
        <w:rPr>
          <w:b/>
          <w:sz w:val="28"/>
        </w:rPr>
      </w:pPr>
      <w:r>
        <w:rPr>
          <w:b/>
          <w:sz w:val="28"/>
        </w:rPr>
        <w:t>ze dne 1.3.2024</w:t>
      </w:r>
    </w:p>
    <w:p w14:paraId="51855BFD" w14:textId="0C820B36" w:rsidR="006F500A" w:rsidRDefault="00867120">
      <w:pPr>
        <w:pStyle w:val="Zkladntext"/>
        <w:spacing w:line="20" w:lineRule="exact"/>
        <w:ind w:left="102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51855C49" wp14:editId="76CC08FF">
                <wp:extent cx="5798820" cy="6350"/>
                <wp:effectExtent l="12065" t="3175" r="8890" b="9525"/>
                <wp:docPr id="118385850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s:wsp>
                        <wps:cNvPr id="56334018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1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0CDB5A" id="Group 5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">
                <v:line id="Line 6" o:spid="_x0000_s1027" style="position:absolute;visibility:visible;mso-wrap-style:square" from="0,5" to="913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" strokeweight=".48pt"/>
                <w10:anchorlock/>
              </v:group>
            </w:pict>
          </mc:Fallback>
        </mc:AlternateContent>
      </w:r>
    </w:p>
    <w:p w14:paraId="51855BFE" w14:textId="77777777" w:rsidR="006F500A" w:rsidRDefault="006F500A">
      <w:pPr>
        <w:pStyle w:val="Zkladntext"/>
        <w:spacing w:before="9"/>
        <w:rPr>
          <w:b/>
          <w:i w:val="0"/>
          <w:sz w:val="16"/>
        </w:rPr>
      </w:pPr>
    </w:p>
    <w:p w14:paraId="51855BFF" w14:textId="77777777" w:rsidR="006F500A" w:rsidRDefault="00867120">
      <w:pPr>
        <w:spacing w:before="56"/>
        <w:ind w:left="137" w:right="4351"/>
      </w:pPr>
      <w:r>
        <w:rPr>
          <w:b/>
        </w:rPr>
        <w:t xml:space="preserve">Moravskoslezské inovační centrum Ostrava, a.s. </w:t>
      </w:r>
      <w:r>
        <w:t>sídlo: Technologická 375/3, Pustkovec, 708 00 Ostrava IČO</w:t>
      </w:r>
      <w:r>
        <w:rPr>
          <w:spacing w:val="-2"/>
        </w:rPr>
        <w:t xml:space="preserve"> </w:t>
      </w:r>
      <w:r>
        <w:t>25379631</w:t>
      </w:r>
    </w:p>
    <w:p w14:paraId="51855C00" w14:textId="77777777" w:rsidR="006F500A" w:rsidRDefault="00867120">
      <w:pPr>
        <w:spacing w:line="268" w:lineRule="exact"/>
        <w:ind w:left="137"/>
      </w:pPr>
      <w:r>
        <w:t>DIČ CZ25379631</w:t>
      </w:r>
    </w:p>
    <w:p w14:paraId="51855C01" w14:textId="77777777" w:rsidR="006F500A" w:rsidRDefault="00867120">
      <w:pPr>
        <w:ind w:left="137"/>
      </w:pPr>
      <w:r>
        <w:t>zapsána v obchodním rejstříku Krajského soudu v Ostravě, oddíl B, vložka 1686</w:t>
      </w:r>
    </w:p>
    <w:p w14:paraId="51855C02" w14:textId="77777777" w:rsidR="006F500A" w:rsidRDefault="00867120">
      <w:pPr>
        <w:ind w:left="137"/>
        <w:rPr>
          <w:b/>
        </w:rPr>
      </w:pPr>
      <w:r>
        <w:t xml:space="preserve">jednající: </w:t>
      </w:r>
      <w:r>
        <w:rPr>
          <w:b/>
        </w:rPr>
        <w:t>Mgr. Adéla Hradilová, předseda představenstva</w:t>
      </w:r>
    </w:p>
    <w:p w14:paraId="51855C03" w14:textId="77777777" w:rsidR="006F500A" w:rsidRDefault="006F500A">
      <w:pPr>
        <w:pStyle w:val="Zkladntext"/>
        <w:rPr>
          <w:b/>
          <w:i w:val="0"/>
        </w:rPr>
      </w:pPr>
    </w:p>
    <w:p w14:paraId="51855C04" w14:textId="77777777" w:rsidR="006F500A" w:rsidRDefault="00867120">
      <w:pPr>
        <w:spacing w:before="1"/>
        <w:ind w:left="137"/>
      </w:pPr>
      <w:r>
        <w:t>jako „Nájemce“ na straně jedné</w:t>
      </w:r>
    </w:p>
    <w:p w14:paraId="51855C05" w14:textId="77777777" w:rsidR="006F500A" w:rsidRDefault="006F500A">
      <w:pPr>
        <w:pStyle w:val="Zkladntext"/>
        <w:spacing w:before="11"/>
        <w:rPr>
          <w:i w:val="0"/>
          <w:sz w:val="21"/>
        </w:rPr>
      </w:pPr>
    </w:p>
    <w:p w14:paraId="51855C06" w14:textId="77777777" w:rsidR="006F500A" w:rsidRDefault="00867120">
      <w:pPr>
        <w:ind w:left="137"/>
      </w:pPr>
      <w:r>
        <w:rPr>
          <w:w w:val="99"/>
        </w:rPr>
        <w:t>a</w:t>
      </w:r>
    </w:p>
    <w:p w14:paraId="51855C07" w14:textId="77777777" w:rsidR="006F500A" w:rsidRDefault="006F500A">
      <w:pPr>
        <w:pStyle w:val="Zkladntext"/>
        <w:spacing w:before="1"/>
        <w:rPr>
          <w:i w:val="0"/>
        </w:rPr>
      </w:pPr>
    </w:p>
    <w:p w14:paraId="51855C08" w14:textId="77777777" w:rsidR="006F500A" w:rsidRDefault="00867120">
      <w:pPr>
        <w:ind w:left="137"/>
        <w:rPr>
          <w:b/>
        </w:rPr>
      </w:pPr>
      <w:r>
        <w:rPr>
          <w:b/>
        </w:rPr>
        <w:t>Mobility and Intelligence</w:t>
      </w:r>
      <w:r>
        <w:rPr>
          <w:b/>
          <w:spacing w:val="-16"/>
        </w:rPr>
        <w:t xml:space="preserve"> </w:t>
      </w:r>
      <w:r>
        <w:rPr>
          <w:b/>
        </w:rPr>
        <w:t>s.r.o.</w:t>
      </w:r>
    </w:p>
    <w:p w14:paraId="51855C09" w14:textId="77777777" w:rsidR="006F500A" w:rsidRDefault="00867120">
      <w:pPr>
        <w:spacing w:line="268" w:lineRule="exact"/>
        <w:ind w:left="137"/>
      </w:pPr>
      <w:r>
        <w:t>sídlo: Polní 651, 742 85</w:t>
      </w:r>
      <w:r>
        <w:rPr>
          <w:spacing w:val="-13"/>
        </w:rPr>
        <w:t xml:space="preserve"> </w:t>
      </w:r>
      <w:r>
        <w:t>Vřesina</w:t>
      </w:r>
    </w:p>
    <w:p w14:paraId="51855C0A" w14:textId="77777777" w:rsidR="006F500A" w:rsidRDefault="00867120">
      <w:pPr>
        <w:ind w:left="137" w:right="7722"/>
      </w:pPr>
      <w:r>
        <w:t>IČO 08341991 DIČ CZ08341991</w:t>
      </w:r>
    </w:p>
    <w:p w14:paraId="51855C0B" w14:textId="77777777" w:rsidR="006F500A" w:rsidRDefault="00867120">
      <w:pPr>
        <w:ind w:left="137"/>
      </w:pPr>
      <w:r>
        <w:t>zapsaná v obchodním rejstříku Krajského soudu v Ostravě, oddíle C, vložce 79215</w:t>
      </w:r>
    </w:p>
    <w:p w14:paraId="51855C0C" w14:textId="77777777" w:rsidR="006F500A" w:rsidRDefault="00867120">
      <w:pPr>
        <w:ind w:left="137"/>
        <w:rPr>
          <w:b/>
        </w:rPr>
      </w:pPr>
      <w:r>
        <w:t xml:space="preserve">jednající: </w:t>
      </w:r>
      <w:r>
        <w:rPr>
          <w:b/>
        </w:rPr>
        <w:t>Mgr. Marek Ščerba, jednatel společnosti</w:t>
      </w:r>
    </w:p>
    <w:p w14:paraId="51855C0D" w14:textId="77777777" w:rsidR="006F500A" w:rsidRDefault="006F500A">
      <w:pPr>
        <w:pStyle w:val="Zkladntext"/>
        <w:spacing w:before="12"/>
        <w:rPr>
          <w:b/>
          <w:i w:val="0"/>
          <w:sz w:val="21"/>
        </w:rPr>
      </w:pPr>
    </w:p>
    <w:p w14:paraId="51855C0E" w14:textId="77777777" w:rsidR="006F500A" w:rsidRDefault="00867120">
      <w:pPr>
        <w:ind w:left="136"/>
      </w:pPr>
      <w:r>
        <w:t>jako „Podnájemce“ na straně druhé</w:t>
      </w:r>
    </w:p>
    <w:p w14:paraId="51855C0F" w14:textId="77777777" w:rsidR="006F500A" w:rsidRDefault="006F500A">
      <w:pPr>
        <w:pStyle w:val="Zkladntext"/>
        <w:rPr>
          <w:i w:val="0"/>
        </w:rPr>
      </w:pPr>
    </w:p>
    <w:p w14:paraId="51855C10" w14:textId="77777777" w:rsidR="006F500A" w:rsidRDefault="00867120">
      <w:pPr>
        <w:ind w:left="136"/>
      </w:pPr>
      <w:r>
        <w:t>Nájemce a Podnájemce (označováni dále jako „Smluvní strany“), uzavírají tento Dodatek č. 1 ke</w:t>
      </w:r>
    </w:p>
    <w:p w14:paraId="51855C11" w14:textId="77777777" w:rsidR="006F500A" w:rsidRDefault="00867120">
      <w:pPr>
        <w:spacing w:before="1"/>
        <w:ind w:left="137"/>
      </w:pPr>
      <w:r>
        <w:t>Smlouvě o podnájmu prostor ze dne 1.3.2024</w:t>
      </w:r>
    </w:p>
    <w:p w14:paraId="51855C12" w14:textId="77777777" w:rsidR="006F500A" w:rsidRDefault="006F500A">
      <w:pPr>
        <w:pStyle w:val="Zkladntext"/>
        <w:rPr>
          <w:i w:val="0"/>
        </w:rPr>
      </w:pPr>
    </w:p>
    <w:p w14:paraId="51855C13" w14:textId="77777777" w:rsidR="006F500A" w:rsidRDefault="006F500A">
      <w:pPr>
        <w:pStyle w:val="Zkladntext"/>
        <w:spacing w:before="11"/>
        <w:rPr>
          <w:i w:val="0"/>
          <w:sz w:val="21"/>
        </w:rPr>
      </w:pPr>
    </w:p>
    <w:p w14:paraId="51855C14" w14:textId="77777777" w:rsidR="006F500A" w:rsidRDefault="00867120">
      <w:pPr>
        <w:ind w:left="2802" w:right="2797"/>
        <w:jc w:val="center"/>
        <w:rPr>
          <w:b/>
        </w:rPr>
      </w:pPr>
      <w:bookmarkStart w:id="0" w:name="I."/>
      <w:bookmarkStart w:id="1" w:name="Předmět_dodatku"/>
      <w:bookmarkEnd w:id="0"/>
      <w:bookmarkEnd w:id="1"/>
      <w:r>
        <w:rPr>
          <w:b/>
        </w:rPr>
        <w:t>I.</w:t>
      </w:r>
    </w:p>
    <w:p w14:paraId="51855C15" w14:textId="77777777" w:rsidR="006F500A" w:rsidRDefault="00867120">
      <w:pPr>
        <w:spacing w:before="1"/>
        <w:ind w:left="2801" w:right="2798"/>
        <w:jc w:val="center"/>
        <w:rPr>
          <w:b/>
        </w:rPr>
      </w:pPr>
      <w:r>
        <w:rPr>
          <w:b/>
        </w:rPr>
        <w:t>Předmět dodatku</w:t>
      </w:r>
    </w:p>
    <w:p w14:paraId="51855C16" w14:textId="77777777" w:rsidR="006F500A" w:rsidRDefault="006F500A">
      <w:pPr>
        <w:pStyle w:val="Zkladntext"/>
        <w:spacing w:before="7"/>
        <w:rPr>
          <w:b/>
          <w:i w:val="0"/>
          <w:sz w:val="19"/>
        </w:rPr>
      </w:pPr>
    </w:p>
    <w:p w14:paraId="51855C17" w14:textId="77777777" w:rsidR="006F500A" w:rsidRDefault="00867120">
      <w:pPr>
        <w:pStyle w:val="Odstavecseseznamem"/>
        <w:numPr>
          <w:ilvl w:val="0"/>
          <w:numId w:val="2"/>
        </w:numPr>
        <w:tabs>
          <w:tab w:val="left" w:pos="858"/>
        </w:tabs>
        <w:spacing w:before="1"/>
      </w:pPr>
      <w:r>
        <w:t>Smluvní strany se dohodly že mění Smlouvu o podnájmu prostor ze dne 1.3.2024,</w:t>
      </w:r>
      <w:r>
        <w:rPr>
          <w:spacing w:val="-23"/>
        </w:rPr>
        <w:t xml:space="preserve"> </w:t>
      </w:r>
      <w:r>
        <w:t>takto:</w:t>
      </w:r>
    </w:p>
    <w:p w14:paraId="51855C18" w14:textId="77777777" w:rsidR="006F500A" w:rsidRDefault="006F500A">
      <w:pPr>
        <w:pStyle w:val="Zkladntext"/>
        <w:rPr>
          <w:i w:val="0"/>
        </w:rPr>
      </w:pPr>
    </w:p>
    <w:p w14:paraId="51855C19" w14:textId="77777777" w:rsidR="006F500A" w:rsidRDefault="006F500A">
      <w:pPr>
        <w:pStyle w:val="Zkladntext"/>
        <w:rPr>
          <w:i w:val="0"/>
        </w:rPr>
      </w:pPr>
    </w:p>
    <w:p w14:paraId="51855C1A" w14:textId="77777777" w:rsidR="006F500A" w:rsidRDefault="006F500A">
      <w:pPr>
        <w:pStyle w:val="Zkladntext"/>
        <w:spacing w:before="3"/>
        <w:rPr>
          <w:i w:val="0"/>
          <w:sz w:val="17"/>
        </w:rPr>
      </w:pPr>
    </w:p>
    <w:p w14:paraId="51855C1B" w14:textId="77777777" w:rsidR="006F500A" w:rsidRDefault="00867120">
      <w:pPr>
        <w:ind w:left="857"/>
        <w:rPr>
          <w:b/>
        </w:rPr>
      </w:pPr>
      <w:r>
        <w:rPr>
          <w:b/>
          <w:u w:val="single"/>
        </w:rPr>
        <w:t>S účinností od 1.1.2025 Článek IV. nově zní:</w:t>
      </w:r>
    </w:p>
    <w:p w14:paraId="51855C1C" w14:textId="77777777" w:rsidR="006F500A" w:rsidRDefault="006F500A">
      <w:pPr>
        <w:pStyle w:val="Zkladntext"/>
        <w:spacing w:before="6"/>
        <w:rPr>
          <w:b/>
          <w:i w:val="0"/>
          <w:sz w:val="17"/>
        </w:rPr>
      </w:pPr>
    </w:p>
    <w:p w14:paraId="51855C1D" w14:textId="77777777" w:rsidR="006F500A" w:rsidRDefault="00867120">
      <w:pPr>
        <w:pStyle w:val="Odstavecseseznamem"/>
        <w:numPr>
          <w:ilvl w:val="1"/>
          <w:numId w:val="2"/>
        </w:numPr>
        <w:tabs>
          <w:tab w:val="left" w:pos="1212"/>
        </w:tabs>
        <w:spacing w:before="55"/>
        <w:rPr>
          <w:i/>
        </w:rPr>
      </w:pPr>
      <w:r>
        <w:rPr>
          <w:i/>
        </w:rPr>
        <w:t>Podnájem se se prodlužuje na dobu určitou do</w:t>
      </w:r>
      <w:r>
        <w:rPr>
          <w:i/>
          <w:spacing w:val="-3"/>
        </w:rPr>
        <w:t xml:space="preserve"> </w:t>
      </w:r>
      <w:r>
        <w:rPr>
          <w:i/>
        </w:rPr>
        <w:t>31.12.2025</w:t>
      </w:r>
    </w:p>
    <w:p w14:paraId="51855C1E" w14:textId="77777777" w:rsidR="006F500A" w:rsidRDefault="006F500A">
      <w:pPr>
        <w:pStyle w:val="Zkladntext"/>
      </w:pPr>
    </w:p>
    <w:p w14:paraId="51855C1F" w14:textId="77777777" w:rsidR="006F500A" w:rsidRDefault="006F500A">
      <w:pPr>
        <w:pStyle w:val="Zkladntext"/>
      </w:pPr>
    </w:p>
    <w:p w14:paraId="51855C20" w14:textId="77777777" w:rsidR="006F500A" w:rsidRDefault="00867120">
      <w:pPr>
        <w:spacing w:before="184"/>
        <w:ind w:left="845"/>
        <w:rPr>
          <w:b/>
          <w:i/>
        </w:rPr>
      </w:pPr>
      <w:r>
        <w:rPr>
          <w:b/>
          <w:i/>
          <w:u w:val="single"/>
        </w:rPr>
        <w:t>S účinností od 1.1. 2025 se do článku V. doplňuje nový odstavec 12, který zní</w:t>
      </w:r>
      <w:r>
        <w:rPr>
          <w:b/>
          <w:i/>
          <w:spacing w:val="-33"/>
          <w:u w:val="single"/>
        </w:rPr>
        <w:t xml:space="preserve"> </w:t>
      </w:r>
      <w:r>
        <w:rPr>
          <w:b/>
          <w:i/>
          <w:u w:val="single"/>
        </w:rPr>
        <w:t>takto:</w:t>
      </w:r>
    </w:p>
    <w:p w14:paraId="51855C21" w14:textId="77777777" w:rsidR="006F500A" w:rsidRDefault="006F500A">
      <w:pPr>
        <w:pStyle w:val="Zkladntext"/>
        <w:spacing w:before="7"/>
        <w:rPr>
          <w:b/>
          <w:sz w:val="17"/>
        </w:rPr>
      </w:pPr>
    </w:p>
    <w:p w14:paraId="51855C22" w14:textId="77777777" w:rsidR="006F500A" w:rsidRDefault="00867120">
      <w:pPr>
        <w:pStyle w:val="Zkladntext"/>
        <w:spacing w:before="55"/>
        <w:ind w:left="137" w:right="128"/>
        <w:jc w:val="both"/>
      </w:pPr>
      <w:r>
        <w:t xml:space="preserve">12. Smluvní strany prohlašují, že Nájemci je poskytována zvýhodněná cena nájemného a služeb. </w:t>
      </w:r>
      <w:r>
        <w:t>Celková výše zvýhodnění je Nájemcem vyčíslena na částku 45.000 Kč (slovy: čtyřicet pět tisíc korun českých). Toto zvýhodnění je slevou, která představuje podporu malého rozsahu (de</w:t>
      </w:r>
      <w:r>
        <w:rPr>
          <w:spacing w:val="-24"/>
        </w:rPr>
        <w:t xml:space="preserve"> </w:t>
      </w:r>
      <w:r>
        <w:t>minimis)</w:t>
      </w:r>
    </w:p>
    <w:p w14:paraId="51855C23" w14:textId="77777777" w:rsidR="006F500A" w:rsidRDefault="00867120">
      <w:pPr>
        <w:pStyle w:val="Zkladntext"/>
        <w:ind w:left="137" w:right="129"/>
        <w:jc w:val="both"/>
      </w:pPr>
      <w:r>
        <w:t xml:space="preserve">podle Nařízení Komise (EU) č. 2023/2831 ze dne 13.12.2023, o použití článků 107 a 108 Smlouvy o </w:t>
      </w:r>
      <w:r>
        <w:t>fungování Evropské unie na podporu de minimis (dále jen "Nařízení"). Podnájemce svým čestným prohlášením,</w:t>
      </w:r>
      <w:r>
        <w:rPr>
          <w:spacing w:val="-14"/>
        </w:rPr>
        <w:t xml:space="preserve"> </w:t>
      </w:r>
      <w:r>
        <w:t>které</w:t>
      </w:r>
      <w:r>
        <w:rPr>
          <w:spacing w:val="-14"/>
        </w:rPr>
        <w:t xml:space="preserve"> </w:t>
      </w:r>
      <w:r>
        <w:t>tvoří</w:t>
      </w:r>
      <w:r>
        <w:rPr>
          <w:spacing w:val="-14"/>
        </w:rPr>
        <w:t xml:space="preserve"> </w:t>
      </w:r>
      <w:r>
        <w:t>přílohu</w:t>
      </w:r>
      <w:r>
        <w:rPr>
          <w:spacing w:val="-14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tohoto</w:t>
      </w:r>
      <w:r>
        <w:rPr>
          <w:spacing w:val="-15"/>
        </w:rPr>
        <w:t xml:space="preserve"> </w:t>
      </w:r>
      <w:r>
        <w:t>dodatku</w:t>
      </w:r>
      <w:r>
        <w:rPr>
          <w:spacing w:val="-14"/>
        </w:rPr>
        <w:t xml:space="preserve"> </w:t>
      </w:r>
      <w:r>
        <w:t>stvrzuje,</w:t>
      </w:r>
      <w:r>
        <w:rPr>
          <w:spacing w:val="-13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nenastaly</w:t>
      </w:r>
      <w:r>
        <w:rPr>
          <w:spacing w:val="-13"/>
        </w:rPr>
        <w:t xml:space="preserve"> </w:t>
      </w:r>
      <w:r>
        <w:t>okolnosti,</w:t>
      </w:r>
      <w:r>
        <w:rPr>
          <w:spacing w:val="-13"/>
        </w:rPr>
        <w:t xml:space="preserve"> </w:t>
      </w:r>
      <w:r>
        <w:t>které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vylučovaly aplikaci pravidla de minimis podle Nařízení, zejména že poskytnutím této slevy nedojde k</w:t>
      </w:r>
      <w:r>
        <w:rPr>
          <w:spacing w:val="-28"/>
        </w:rPr>
        <w:t xml:space="preserve"> </w:t>
      </w:r>
      <w:r>
        <w:t>takové</w:t>
      </w:r>
    </w:p>
    <w:p w14:paraId="51855C24" w14:textId="77777777" w:rsidR="006F500A" w:rsidRDefault="006F500A">
      <w:pPr>
        <w:jc w:val="both"/>
        <w:sectPr w:rsidR="006F500A">
          <w:headerReference w:type="default" r:id="rId7"/>
          <w:footerReference w:type="default" r:id="rId8"/>
          <w:type w:val="continuous"/>
          <w:pgSz w:w="11910" w:h="16840"/>
          <w:pgMar w:top="1660" w:right="1280" w:bottom="1160" w:left="1280" w:header="708" w:footer="965" w:gutter="0"/>
          <w:cols w:space="708"/>
        </w:sectPr>
      </w:pPr>
    </w:p>
    <w:p w14:paraId="51855C25" w14:textId="77777777" w:rsidR="006F500A" w:rsidRDefault="006F500A">
      <w:pPr>
        <w:pStyle w:val="Zkladntext"/>
        <w:spacing w:before="5"/>
        <w:rPr>
          <w:sz w:val="18"/>
        </w:rPr>
      </w:pPr>
    </w:p>
    <w:p w14:paraId="51855C26" w14:textId="77777777" w:rsidR="006F500A" w:rsidRDefault="00867120">
      <w:pPr>
        <w:pStyle w:val="Zkladntext"/>
        <w:spacing w:before="55"/>
        <w:ind w:left="137" w:right="129"/>
        <w:jc w:val="both"/>
      </w:pPr>
      <w:r>
        <w:t xml:space="preserve">kumulaci s jinou veřejnou podporou, která by způsobila překročení povolené míry podpory de minimis, </w:t>
      </w:r>
      <w:r>
        <w:t>a že za poslední 3 roky přede dnem podpisu tohoto dodatku Podnájemci (resp. subjektům, které jsou spolu s Podnájemce jakožto příjemcem podpory považovány za jeden podnik), nebyla poskytnuta podpora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minimis,</w:t>
      </w:r>
      <w:r>
        <w:rPr>
          <w:spacing w:val="-13"/>
        </w:rPr>
        <w:t xml:space="preserve"> </w:t>
      </w:r>
      <w:r>
        <w:t>která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součtu</w:t>
      </w:r>
      <w:r>
        <w:rPr>
          <w:spacing w:val="-1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podporou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minimis</w:t>
      </w:r>
      <w:r>
        <w:rPr>
          <w:spacing w:val="-14"/>
        </w:rPr>
        <w:t xml:space="preserve"> </w:t>
      </w:r>
      <w:r>
        <w:t>poskytovanou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základě</w:t>
      </w:r>
      <w:r>
        <w:rPr>
          <w:spacing w:val="-13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dodatku překročila maximální částku povolenou právními předpisy Evropské unie upravujícími oblast veřejné podpory.</w:t>
      </w:r>
    </w:p>
    <w:p w14:paraId="51855C27" w14:textId="77777777" w:rsidR="006F500A" w:rsidRDefault="006F500A">
      <w:pPr>
        <w:pStyle w:val="Zkladntext"/>
        <w:spacing w:before="1"/>
      </w:pPr>
    </w:p>
    <w:p w14:paraId="51855C28" w14:textId="77777777" w:rsidR="006F500A" w:rsidRDefault="00867120">
      <w:pPr>
        <w:pStyle w:val="Zkladntext"/>
        <w:ind w:left="137" w:right="129"/>
        <w:jc w:val="both"/>
      </w:pPr>
      <w:r>
        <w:t xml:space="preserve">V případě, že nastanou okolnosti, které by vylučovaly aplikaci pravidla de minimis, ztrácí Podnájemce </w:t>
      </w:r>
      <w:r>
        <w:t>nárok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poskytnutí</w:t>
      </w:r>
      <w:r>
        <w:rPr>
          <w:spacing w:val="-15"/>
        </w:rPr>
        <w:t xml:space="preserve"> </w:t>
      </w:r>
      <w:r>
        <w:t>zvýhodněné</w:t>
      </w:r>
      <w:r>
        <w:rPr>
          <w:spacing w:val="-16"/>
        </w:rPr>
        <w:t xml:space="preserve"> </w:t>
      </w:r>
      <w:r>
        <w:t>ceny</w:t>
      </w:r>
      <w:r>
        <w:rPr>
          <w:spacing w:val="-15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smlouvy,</w:t>
      </w:r>
      <w:r>
        <w:rPr>
          <w:spacing w:val="-14"/>
        </w:rPr>
        <w:t xml:space="preserve"> </w:t>
      </w:r>
      <w:r>
        <w:t>když</w:t>
      </w:r>
      <w:r>
        <w:rPr>
          <w:spacing w:val="-1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tomto</w:t>
      </w:r>
      <w:r>
        <w:rPr>
          <w:spacing w:val="-14"/>
        </w:rPr>
        <w:t xml:space="preserve"> </w:t>
      </w:r>
      <w:r>
        <w:t>případě</w:t>
      </w:r>
      <w:r>
        <w:rPr>
          <w:spacing w:val="-15"/>
        </w:rPr>
        <w:t xml:space="preserve"> </w:t>
      </w:r>
      <w:r>
        <w:t>bude</w:t>
      </w:r>
      <w:r>
        <w:rPr>
          <w:spacing w:val="-15"/>
        </w:rPr>
        <w:t xml:space="preserve"> </w:t>
      </w:r>
      <w:r>
        <w:t>povinen</w:t>
      </w:r>
      <w:r>
        <w:rPr>
          <w:spacing w:val="-16"/>
        </w:rPr>
        <w:t xml:space="preserve"> </w:t>
      </w:r>
      <w:r>
        <w:t>Podnájemce uhradit nájemné/služby v plné výši, tedy včetně částky odpovídající vyčíslené podpoře de minimis uvedené v úvodu odst. 12 dodatku. Z uvedeného důvodu je rovněž Nájemce oprávněn smlouvu vypovědět, a to s výpovědní dobou v délce 3 kalendářních měsíců. Výpovědní doba začne běžet prvním dnem v měsíci následujícím po měsíci, ve kterém byla výpověď Podnájemci</w:t>
      </w:r>
      <w:r>
        <w:rPr>
          <w:spacing w:val="-11"/>
        </w:rPr>
        <w:t xml:space="preserve"> </w:t>
      </w:r>
      <w:r>
        <w:t>doručena.</w:t>
      </w:r>
    </w:p>
    <w:p w14:paraId="51855C29" w14:textId="77777777" w:rsidR="006F500A" w:rsidRDefault="006F500A">
      <w:pPr>
        <w:pStyle w:val="Zkladntext"/>
        <w:spacing w:before="11"/>
        <w:rPr>
          <w:sz w:val="21"/>
        </w:rPr>
      </w:pPr>
    </w:p>
    <w:p w14:paraId="51855C2A" w14:textId="77777777" w:rsidR="006F500A" w:rsidRDefault="00867120">
      <w:pPr>
        <w:pStyle w:val="Zkladntext"/>
        <w:ind w:left="137" w:right="129"/>
        <w:jc w:val="both"/>
      </w:pPr>
      <w:r>
        <w:t xml:space="preserve">Podnájemce jakožto příjemce podpory výslovně žádá o poskytnutí podpory de minimis v částce 45.000 </w:t>
      </w:r>
      <w:r>
        <w:t>Kč (slovy: čtyřicet pět tisíc korun českých). Podnájemce souhlasí s tím, že v rámci této podpory bude hrazena část nájemného tak, aby Podnájemci mohlo být poskytnuto zvýhodněné nájemné/služby uvedené ve smlouvě, tedy ve sjednané zvýhodněné výši. Podpora de minimis bude zapsána do registru de</w:t>
      </w:r>
      <w:r>
        <w:rPr>
          <w:spacing w:val="-10"/>
        </w:rPr>
        <w:t xml:space="preserve"> </w:t>
      </w:r>
      <w:r>
        <w:t>minimis,</w:t>
      </w:r>
      <w:r>
        <w:rPr>
          <w:spacing w:val="-9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čímž</w:t>
      </w:r>
      <w:r>
        <w:rPr>
          <w:spacing w:val="-9"/>
        </w:rPr>
        <w:t xml:space="preserve"> </w:t>
      </w:r>
      <w:r>
        <w:t>Podnájemce</w:t>
      </w:r>
      <w:r>
        <w:rPr>
          <w:spacing w:val="-10"/>
        </w:rPr>
        <w:t xml:space="preserve"> </w:t>
      </w:r>
      <w:r>
        <w:t>výslovně</w:t>
      </w:r>
      <w:r>
        <w:rPr>
          <w:spacing w:val="-8"/>
        </w:rPr>
        <w:t xml:space="preserve"> </w:t>
      </w:r>
      <w:r>
        <w:t>souhlasí.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vyloučení</w:t>
      </w:r>
      <w:r>
        <w:rPr>
          <w:spacing w:val="-9"/>
        </w:rPr>
        <w:t xml:space="preserve"> </w:t>
      </w:r>
      <w:r>
        <w:t>jakýchkoliv</w:t>
      </w:r>
      <w:r>
        <w:rPr>
          <w:spacing w:val="-9"/>
        </w:rPr>
        <w:t xml:space="preserve"> </w:t>
      </w:r>
      <w:r>
        <w:t>pochybností</w:t>
      </w:r>
      <w:r>
        <w:rPr>
          <w:spacing w:val="-8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strany prohlašují, že nárok Nájemce na poskytnutí podpory v režimu de minimis vzniká (za splnění veškerých podmínek vyžadovanýc</w:t>
      </w:r>
      <w:r>
        <w:t>h dle nařízení Komise (EU) č. 2023/2831 ze dne 13.12.2023 či jiných právních předpisů) dnem nabytí účinnosti tohoto</w:t>
      </w:r>
      <w:r>
        <w:rPr>
          <w:spacing w:val="-4"/>
        </w:rPr>
        <w:t xml:space="preserve"> </w:t>
      </w:r>
      <w:r>
        <w:t>dodatku.</w:t>
      </w:r>
    </w:p>
    <w:p w14:paraId="51855C2B" w14:textId="77777777" w:rsidR="006F500A" w:rsidRDefault="006F500A">
      <w:pPr>
        <w:pStyle w:val="Zkladntext"/>
        <w:spacing w:before="1"/>
      </w:pPr>
    </w:p>
    <w:p w14:paraId="51855C2C" w14:textId="77777777" w:rsidR="006F500A" w:rsidRDefault="00867120">
      <w:pPr>
        <w:spacing w:line="268" w:lineRule="exact"/>
        <w:ind w:left="2764" w:right="2798"/>
        <w:jc w:val="center"/>
        <w:rPr>
          <w:b/>
        </w:rPr>
      </w:pPr>
      <w:r>
        <w:rPr>
          <w:b/>
        </w:rPr>
        <w:t>II.</w:t>
      </w:r>
    </w:p>
    <w:p w14:paraId="51855C2D" w14:textId="77777777" w:rsidR="006F500A" w:rsidRDefault="00867120">
      <w:pPr>
        <w:spacing w:line="268" w:lineRule="exact"/>
        <w:ind w:left="2695" w:right="2798"/>
        <w:jc w:val="center"/>
        <w:rPr>
          <w:b/>
        </w:rPr>
      </w:pPr>
      <w:r>
        <w:rPr>
          <w:b/>
        </w:rPr>
        <w:t>Závěrečná ustanovení</w:t>
      </w:r>
    </w:p>
    <w:p w14:paraId="51855C2E" w14:textId="77777777" w:rsidR="006F500A" w:rsidRDefault="006F500A">
      <w:pPr>
        <w:pStyle w:val="Zkladntext"/>
        <w:spacing w:before="11"/>
        <w:rPr>
          <w:b/>
          <w:i w:val="0"/>
          <w:sz w:val="31"/>
        </w:rPr>
      </w:pPr>
    </w:p>
    <w:p w14:paraId="51855C2F" w14:textId="77777777" w:rsidR="006F500A" w:rsidRDefault="00867120">
      <w:pPr>
        <w:pStyle w:val="Odstavecseseznamem"/>
        <w:numPr>
          <w:ilvl w:val="0"/>
          <w:numId w:val="1"/>
        </w:numPr>
        <w:tabs>
          <w:tab w:val="left" w:pos="858"/>
        </w:tabs>
      </w:pPr>
      <w:r>
        <w:t>Smluvní</w:t>
      </w:r>
      <w:r>
        <w:rPr>
          <w:spacing w:val="-11"/>
        </w:rPr>
        <w:t xml:space="preserve"> </w:t>
      </w:r>
      <w:r>
        <w:t>strany</w:t>
      </w:r>
      <w:r>
        <w:rPr>
          <w:spacing w:val="-12"/>
        </w:rPr>
        <w:t xml:space="preserve"> </w:t>
      </w:r>
      <w:r>
        <w:t>prohlašují,</w:t>
      </w:r>
      <w:r>
        <w:rPr>
          <w:spacing w:val="-12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tento</w:t>
      </w:r>
      <w:r>
        <w:rPr>
          <w:spacing w:val="-12"/>
        </w:rPr>
        <w:t xml:space="preserve"> </w:t>
      </w:r>
      <w:r>
        <w:t>Dodatek</w:t>
      </w:r>
      <w:r>
        <w:rPr>
          <w:spacing w:val="-13"/>
        </w:rPr>
        <w:t xml:space="preserve"> </w:t>
      </w:r>
      <w:r>
        <w:t>řádně</w:t>
      </w:r>
      <w:r>
        <w:rPr>
          <w:spacing w:val="-12"/>
        </w:rPr>
        <w:t xml:space="preserve"> </w:t>
      </w:r>
      <w:r>
        <w:t>přečetly,</w:t>
      </w:r>
      <w:r>
        <w:rPr>
          <w:spacing w:val="-11"/>
        </w:rPr>
        <w:t xml:space="preserve"> </w:t>
      </w:r>
      <w:r>
        <w:t>porozuměly</w:t>
      </w:r>
      <w:r>
        <w:rPr>
          <w:spacing w:val="-12"/>
        </w:rPr>
        <w:t xml:space="preserve"> </w:t>
      </w:r>
      <w:r>
        <w:t>jeho</w:t>
      </w:r>
      <w:r>
        <w:rPr>
          <w:spacing w:val="-12"/>
        </w:rPr>
        <w:t xml:space="preserve"> </w:t>
      </w:r>
      <w:r>
        <w:t>obsahu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jeho</w:t>
      </w:r>
    </w:p>
    <w:p w14:paraId="51855C30" w14:textId="77777777" w:rsidR="006F500A" w:rsidRDefault="00867120">
      <w:pPr>
        <w:ind w:left="857"/>
      </w:pPr>
      <w:r>
        <w:t>zněním plně souhlasí, což stvrzují svými podpisy.</w:t>
      </w:r>
    </w:p>
    <w:p w14:paraId="51855C31" w14:textId="77777777" w:rsidR="006F500A" w:rsidRDefault="006F500A">
      <w:pPr>
        <w:pStyle w:val="Zkladntext"/>
        <w:spacing w:before="12"/>
        <w:rPr>
          <w:i w:val="0"/>
          <w:sz w:val="21"/>
        </w:rPr>
      </w:pPr>
    </w:p>
    <w:p w14:paraId="51855C32" w14:textId="77777777" w:rsidR="006F500A" w:rsidRDefault="00867120">
      <w:pPr>
        <w:pStyle w:val="Odstavecseseznamem"/>
        <w:numPr>
          <w:ilvl w:val="0"/>
          <w:numId w:val="1"/>
        </w:numPr>
        <w:tabs>
          <w:tab w:val="left" w:pos="858"/>
        </w:tabs>
      </w:pPr>
      <w:r>
        <w:t>Tento dodatek nabývá platnosti dnem podpisu oběma smluvními</w:t>
      </w:r>
      <w:r>
        <w:rPr>
          <w:spacing w:val="-9"/>
        </w:rPr>
        <w:t xml:space="preserve"> </w:t>
      </w:r>
      <w:r>
        <w:t>stranami.</w:t>
      </w:r>
    </w:p>
    <w:p w14:paraId="51855C33" w14:textId="77777777" w:rsidR="006F500A" w:rsidRDefault="006F500A">
      <w:pPr>
        <w:pStyle w:val="Zkladntext"/>
        <w:rPr>
          <w:i w:val="0"/>
        </w:rPr>
      </w:pPr>
    </w:p>
    <w:p w14:paraId="51855C34" w14:textId="77777777" w:rsidR="006F500A" w:rsidRDefault="00867120">
      <w:pPr>
        <w:pStyle w:val="Odstavecseseznamem"/>
        <w:numPr>
          <w:ilvl w:val="0"/>
          <w:numId w:val="1"/>
        </w:numPr>
        <w:tabs>
          <w:tab w:val="left" w:pos="858"/>
        </w:tabs>
        <w:ind w:right="129"/>
      </w:pPr>
      <w:r>
        <w:t>Tento Dodatek je sepsán ve dvou vyhotoveních s platností originálu, z nichž každá ze stran obdrží po jednom</w:t>
      </w:r>
      <w:r>
        <w:rPr>
          <w:spacing w:val="-2"/>
        </w:rPr>
        <w:t xml:space="preserve"> </w:t>
      </w:r>
      <w:r>
        <w:t>vyhotovení.</w:t>
      </w:r>
    </w:p>
    <w:p w14:paraId="51855C35" w14:textId="77777777" w:rsidR="006F500A" w:rsidRDefault="006F500A">
      <w:pPr>
        <w:pStyle w:val="Zkladntext"/>
        <w:rPr>
          <w:i w:val="0"/>
        </w:rPr>
      </w:pPr>
    </w:p>
    <w:p w14:paraId="51855C36" w14:textId="77777777" w:rsidR="006F500A" w:rsidRDefault="00867120">
      <w:pPr>
        <w:spacing w:before="160"/>
        <w:ind w:left="137"/>
        <w:jc w:val="both"/>
      </w:pPr>
      <w:r>
        <w:t>V Ostravě dne</w:t>
      </w:r>
    </w:p>
    <w:p w14:paraId="51855C37" w14:textId="77777777" w:rsidR="006F500A" w:rsidRDefault="006F500A">
      <w:pPr>
        <w:pStyle w:val="Zkladntext"/>
        <w:rPr>
          <w:i w:val="0"/>
          <w:sz w:val="20"/>
        </w:rPr>
      </w:pPr>
    </w:p>
    <w:p w14:paraId="51855C38" w14:textId="77777777" w:rsidR="006F500A" w:rsidRDefault="006F500A">
      <w:pPr>
        <w:pStyle w:val="Zkladntext"/>
        <w:rPr>
          <w:i w:val="0"/>
          <w:sz w:val="20"/>
        </w:rPr>
      </w:pPr>
    </w:p>
    <w:p w14:paraId="51855C39" w14:textId="77777777" w:rsidR="006F500A" w:rsidRDefault="006F500A">
      <w:pPr>
        <w:pStyle w:val="Zkladntext"/>
        <w:spacing w:before="1"/>
        <w:rPr>
          <w:i w:val="0"/>
          <w:sz w:val="21"/>
        </w:rPr>
      </w:pPr>
    </w:p>
    <w:p w14:paraId="51855C3A" w14:textId="77777777" w:rsidR="006F500A" w:rsidRDefault="006F500A">
      <w:pPr>
        <w:rPr>
          <w:sz w:val="21"/>
        </w:rPr>
        <w:sectPr w:rsidR="006F500A">
          <w:pgSz w:w="11910" w:h="16840"/>
          <w:pgMar w:top="1660" w:right="1280" w:bottom="1160" w:left="1280" w:header="708" w:footer="965" w:gutter="0"/>
          <w:cols w:space="708"/>
        </w:sectPr>
      </w:pPr>
    </w:p>
    <w:p w14:paraId="51855C3B" w14:textId="77777777" w:rsidR="006F500A" w:rsidRDefault="006F500A">
      <w:pPr>
        <w:pStyle w:val="Zkladntext"/>
        <w:spacing w:before="11"/>
        <w:rPr>
          <w:i w:val="0"/>
          <w:sz w:val="49"/>
        </w:rPr>
      </w:pPr>
    </w:p>
    <w:p w14:paraId="51855C3E" w14:textId="003FD684" w:rsidR="006F500A" w:rsidRDefault="00867120" w:rsidP="00C54298">
      <w:pPr>
        <w:spacing w:before="105" w:line="244" w:lineRule="auto"/>
        <w:ind w:left="221" w:right="1"/>
        <w:rPr>
          <w:sz w:val="21"/>
        </w:rPr>
      </w:pPr>
      <w:r>
        <w:br w:type="column"/>
      </w:r>
    </w:p>
    <w:p w14:paraId="51855C3F" w14:textId="31432957" w:rsidR="006F500A" w:rsidRDefault="00867120">
      <w:pPr>
        <w:spacing w:before="314" w:line="488" w:lineRule="exact"/>
        <w:ind w:left="245"/>
      </w:pPr>
      <w:r>
        <w:br w:type="column"/>
      </w:r>
    </w:p>
    <w:p w14:paraId="2238119E" w14:textId="77777777" w:rsidR="00C54298" w:rsidRDefault="00C54298">
      <w:pPr>
        <w:spacing w:before="314" w:line="488" w:lineRule="exact"/>
        <w:ind w:left="245"/>
        <w:rPr>
          <w:sz w:val="40"/>
        </w:rPr>
      </w:pPr>
    </w:p>
    <w:p w14:paraId="51855C40" w14:textId="77777777" w:rsidR="006F500A" w:rsidRDefault="00867120">
      <w:pPr>
        <w:pStyle w:val="Zkladntext"/>
        <w:spacing w:before="9"/>
        <w:rPr>
          <w:i w:val="0"/>
          <w:sz w:val="28"/>
        </w:rPr>
      </w:pPr>
      <w:r>
        <w:rPr>
          <w:i w:val="0"/>
        </w:rPr>
        <w:br w:type="column"/>
      </w:r>
    </w:p>
    <w:p w14:paraId="51855C41" w14:textId="5C08A7A6" w:rsidR="006F500A" w:rsidRDefault="006F500A">
      <w:pPr>
        <w:spacing w:line="254" w:lineRule="auto"/>
        <w:ind w:left="245" w:right="835"/>
        <w:rPr>
          <w:sz w:val="19"/>
        </w:rPr>
      </w:pPr>
    </w:p>
    <w:p w14:paraId="51855C42" w14:textId="77777777" w:rsidR="006F500A" w:rsidRDefault="006F500A">
      <w:pPr>
        <w:spacing w:line="254" w:lineRule="auto"/>
        <w:rPr>
          <w:sz w:val="19"/>
        </w:rPr>
        <w:sectPr w:rsidR="006F500A">
          <w:type w:val="continuous"/>
          <w:pgSz w:w="11910" w:h="16840"/>
          <w:pgMar w:top="1660" w:right="1280" w:bottom="1160" w:left="1280" w:header="708" w:footer="708" w:gutter="0"/>
          <w:cols w:num="4" w:space="708" w:equalWidth="0">
            <w:col w:w="1981" w:space="40"/>
            <w:col w:w="2135" w:space="710"/>
            <w:col w:w="1431" w:space="395"/>
            <w:col w:w="2658"/>
          </w:cols>
        </w:sectPr>
      </w:pPr>
    </w:p>
    <w:p w14:paraId="51855C43" w14:textId="77777777" w:rsidR="006F500A" w:rsidRDefault="00867120">
      <w:pPr>
        <w:tabs>
          <w:tab w:val="left" w:pos="5093"/>
        </w:tabs>
        <w:spacing w:line="60" w:lineRule="auto"/>
        <w:ind w:left="137"/>
      </w:pPr>
      <w:r>
        <w:rPr>
          <w:spacing w:val="-1"/>
          <w:w w:val="99"/>
        </w:rPr>
        <w:t>…</w:t>
      </w:r>
      <w:r>
        <w:rPr>
          <w:w w:val="99"/>
        </w:rPr>
        <w:t>…</w:t>
      </w:r>
      <w:r>
        <w:rPr>
          <w:spacing w:val="-1"/>
          <w:w w:val="99"/>
        </w:rPr>
        <w:t>…</w:t>
      </w:r>
      <w:r>
        <w:rPr>
          <w:w w:val="99"/>
        </w:rPr>
        <w:t>…</w:t>
      </w:r>
      <w:r>
        <w:rPr>
          <w:spacing w:val="-1"/>
          <w:w w:val="99"/>
        </w:rPr>
        <w:t>…</w:t>
      </w:r>
      <w:r>
        <w:rPr>
          <w:w w:val="99"/>
        </w:rPr>
        <w:t>………</w:t>
      </w:r>
      <w:r>
        <w:rPr>
          <w:spacing w:val="-1"/>
          <w:w w:val="99"/>
        </w:rPr>
        <w:t>…</w:t>
      </w:r>
      <w:r>
        <w:rPr>
          <w:w w:val="99"/>
        </w:rPr>
        <w:t>…</w:t>
      </w:r>
      <w:r>
        <w:rPr>
          <w:spacing w:val="-1"/>
          <w:w w:val="99"/>
        </w:rPr>
        <w:t>…</w:t>
      </w:r>
      <w:r>
        <w:rPr>
          <w:w w:val="99"/>
        </w:rPr>
        <w:t>…</w:t>
      </w:r>
      <w:r>
        <w:rPr>
          <w:spacing w:val="-1"/>
          <w:w w:val="99"/>
        </w:rPr>
        <w:t>…</w:t>
      </w:r>
      <w:r>
        <w:rPr>
          <w:w w:val="99"/>
        </w:rPr>
        <w:t>………</w:t>
      </w:r>
      <w:r>
        <w:rPr>
          <w:spacing w:val="-1"/>
          <w:w w:val="99"/>
        </w:rPr>
        <w:t>…</w:t>
      </w:r>
      <w:r>
        <w:rPr>
          <w:w w:val="99"/>
        </w:rPr>
        <w:t>…</w:t>
      </w:r>
      <w:r>
        <w:rPr>
          <w:spacing w:val="-1"/>
          <w:w w:val="99"/>
        </w:rPr>
        <w:t>…</w:t>
      </w:r>
      <w:r>
        <w:rPr>
          <w:w w:val="99"/>
        </w:rPr>
        <w:t>…</w:t>
      </w:r>
      <w:r>
        <w:rPr>
          <w:spacing w:val="-1"/>
          <w:w w:val="99"/>
        </w:rPr>
        <w:t>…</w:t>
      </w:r>
      <w:r>
        <w:rPr>
          <w:w w:val="99"/>
        </w:rPr>
        <w:t>….</w:t>
      </w:r>
      <w:r>
        <w:tab/>
      </w:r>
      <w:r>
        <w:rPr>
          <w:spacing w:val="-1"/>
          <w:w w:val="99"/>
        </w:rPr>
        <w:t>…</w:t>
      </w:r>
      <w:r>
        <w:rPr>
          <w:w w:val="99"/>
        </w:rPr>
        <w:t>…</w:t>
      </w:r>
      <w:r>
        <w:rPr>
          <w:spacing w:val="-1"/>
          <w:w w:val="99"/>
        </w:rPr>
        <w:t>…</w:t>
      </w:r>
      <w:r>
        <w:rPr>
          <w:w w:val="99"/>
        </w:rPr>
        <w:t>…</w:t>
      </w:r>
      <w:r>
        <w:rPr>
          <w:spacing w:val="-1"/>
          <w:w w:val="99"/>
        </w:rPr>
        <w:t>…</w:t>
      </w:r>
      <w:r>
        <w:rPr>
          <w:w w:val="99"/>
        </w:rPr>
        <w:t>………</w:t>
      </w:r>
      <w:r>
        <w:rPr>
          <w:spacing w:val="-1"/>
          <w:w w:val="99"/>
        </w:rPr>
        <w:t>…</w:t>
      </w:r>
      <w:r>
        <w:rPr>
          <w:w w:val="99"/>
        </w:rPr>
        <w:t>…</w:t>
      </w:r>
      <w:r>
        <w:rPr>
          <w:spacing w:val="-1"/>
          <w:w w:val="99"/>
        </w:rPr>
        <w:t>…</w:t>
      </w:r>
      <w:r>
        <w:rPr>
          <w:w w:val="99"/>
        </w:rPr>
        <w:t>…</w:t>
      </w:r>
      <w:r>
        <w:rPr>
          <w:spacing w:val="-131"/>
          <w:w w:val="99"/>
        </w:rPr>
        <w:t>…</w:t>
      </w:r>
      <w:r>
        <w:rPr>
          <w:w w:val="105"/>
          <w:position w:val="8"/>
          <w:sz w:val="19"/>
        </w:rPr>
        <w:t>2</w:t>
      </w:r>
      <w:r>
        <w:rPr>
          <w:spacing w:val="-73"/>
          <w:w w:val="105"/>
          <w:position w:val="8"/>
          <w:sz w:val="19"/>
        </w:rPr>
        <w:t>0</w:t>
      </w:r>
      <w:r>
        <w:rPr>
          <w:spacing w:val="-79"/>
          <w:w w:val="99"/>
        </w:rPr>
        <w:t>…</w:t>
      </w:r>
      <w:r>
        <w:rPr>
          <w:w w:val="80"/>
          <w:position w:val="8"/>
          <w:sz w:val="19"/>
        </w:rPr>
        <w:t>:</w:t>
      </w:r>
      <w:r>
        <w:rPr>
          <w:spacing w:val="-63"/>
          <w:w w:val="105"/>
          <w:position w:val="8"/>
          <w:sz w:val="19"/>
        </w:rPr>
        <w:t>0</w:t>
      </w:r>
      <w:r>
        <w:rPr>
          <w:spacing w:val="-89"/>
          <w:w w:val="99"/>
        </w:rPr>
        <w:t>…</w:t>
      </w:r>
      <w:r>
        <w:rPr>
          <w:spacing w:val="-12"/>
          <w:w w:val="105"/>
          <w:position w:val="8"/>
          <w:sz w:val="19"/>
        </w:rPr>
        <w:t>3</w:t>
      </w:r>
      <w:r>
        <w:rPr>
          <w:spacing w:val="-140"/>
          <w:w w:val="99"/>
        </w:rPr>
        <w:t>…</w:t>
      </w:r>
      <w:r>
        <w:rPr>
          <w:w w:val="80"/>
          <w:position w:val="8"/>
          <w:sz w:val="19"/>
        </w:rPr>
        <w:t>:</w:t>
      </w:r>
      <w:r>
        <w:rPr>
          <w:spacing w:val="-2"/>
          <w:w w:val="105"/>
          <w:position w:val="8"/>
          <w:sz w:val="19"/>
        </w:rPr>
        <w:t>1</w:t>
      </w:r>
      <w:r>
        <w:rPr>
          <w:spacing w:val="-151"/>
          <w:w w:val="99"/>
        </w:rPr>
        <w:t>…</w:t>
      </w:r>
      <w:r>
        <w:rPr>
          <w:w w:val="105"/>
          <w:position w:val="8"/>
          <w:sz w:val="19"/>
        </w:rPr>
        <w:t>1</w:t>
      </w:r>
      <w:r>
        <w:rPr>
          <w:spacing w:val="-2"/>
          <w:position w:val="8"/>
          <w:sz w:val="19"/>
        </w:rPr>
        <w:t xml:space="preserve"> </w:t>
      </w:r>
      <w:r>
        <w:rPr>
          <w:spacing w:val="-112"/>
          <w:w w:val="124"/>
          <w:position w:val="8"/>
          <w:sz w:val="19"/>
        </w:rPr>
        <w:t>+</w:t>
      </w:r>
      <w:r>
        <w:rPr>
          <w:spacing w:val="-41"/>
          <w:w w:val="99"/>
        </w:rPr>
        <w:t>…</w:t>
      </w:r>
      <w:r>
        <w:rPr>
          <w:spacing w:val="-61"/>
          <w:w w:val="105"/>
          <w:position w:val="8"/>
          <w:sz w:val="19"/>
        </w:rPr>
        <w:t>0</w:t>
      </w:r>
      <w:r>
        <w:rPr>
          <w:spacing w:val="-92"/>
          <w:w w:val="99"/>
        </w:rPr>
        <w:t>…</w:t>
      </w:r>
      <w:r>
        <w:rPr>
          <w:spacing w:val="-11"/>
          <w:w w:val="105"/>
          <w:position w:val="8"/>
          <w:sz w:val="19"/>
        </w:rPr>
        <w:t>1</w:t>
      </w:r>
      <w:r>
        <w:rPr>
          <w:spacing w:val="-142"/>
          <w:w w:val="99"/>
        </w:rPr>
        <w:t>…</w:t>
      </w:r>
      <w:r>
        <w:rPr>
          <w:position w:val="8"/>
          <w:sz w:val="19"/>
        </w:rPr>
        <w:t>'0</w:t>
      </w:r>
      <w:r>
        <w:rPr>
          <w:spacing w:val="-99"/>
          <w:w w:val="105"/>
          <w:position w:val="8"/>
          <w:sz w:val="19"/>
        </w:rPr>
        <w:t>0</w:t>
      </w:r>
      <w:r>
        <w:rPr>
          <w:spacing w:val="-54"/>
          <w:w w:val="99"/>
        </w:rPr>
        <w:t>…</w:t>
      </w:r>
      <w:r>
        <w:rPr>
          <w:spacing w:val="16"/>
          <w:w w:val="88"/>
          <w:position w:val="8"/>
          <w:sz w:val="19"/>
        </w:rPr>
        <w:t>'</w:t>
      </w:r>
      <w:r>
        <w:rPr>
          <w:w w:val="99"/>
        </w:rPr>
        <w:t>….</w:t>
      </w:r>
    </w:p>
    <w:p w14:paraId="51855C44" w14:textId="77777777" w:rsidR="006F500A" w:rsidRDefault="00867120">
      <w:pPr>
        <w:tabs>
          <w:tab w:val="left" w:pos="5079"/>
          <w:tab w:val="left" w:pos="5490"/>
        </w:tabs>
        <w:ind w:left="137" w:right="654"/>
      </w:pPr>
      <w:r>
        <w:t>za Moravskoslezské inovační centrum</w:t>
      </w:r>
      <w:r>
        <w:rPr>
          <w:spacing w:val="-13"/>
        </w:rPr>
        <w:t xml:space="preserve"> </w:t>
      </w:r>
      <w:r>
        <w:t>Ostrava,</w:t>
      </w:r>
      <w:r>
        <w:rPr>
          <w:spacing w:val="-4"/>
        </w:rPr>
        <w:t xml:space="preserve"> </w:t>
      </w:r>
      <w:r>
        <w:t>a.s.</w:t>
      </w:r>
      <w:r>
        <w:tab/>
      </w:r>
      <w:r>
        <w:tab/>
      </w:r>
      <w:r>
        <w:t>za Mobility and Intelligence s.r.o. Mgr. Adéla Hradilová,</w:t>
      </w:r>
      <w:r>
        <w:rPr>
          <w:spacing w:val="-12"/>
        </w:rPr>
        <w:t xml:space="preserve"> </w:t>
      </w:r>
      <w:r>
        <w:t>předseda</w:t>
      </w:r>
      <w:r>
        <w:rPr>
          <w:spacing w:val="-4"/>
        </w:rPr>
        <w:t xml:space="preserve"> </w:t>
      </w:r>
      <w:r>
        <w:t>představenstva</w:t>
      </w:r>
      <w:r>
        <w:tab/>
        <w:t>Mgr. Marek Ščerba, jednatel</w:t>
      </w:r>
      <w:r>
        <w:rPr>
          <w:spacing w:val="-17"/>
        </w:rPr>
        <w:t xml:space="preserve"> </w:t>
      </w:r>
      <w:r>
        <w:t>společnosti</w:t>
      </w:r>
    </w:p>
    <w:p w14:paraId="51855C45" w14:textId="77777777" w:rsidR="006F500A" w:rsidRDefault="006F500A">
      <w:pPr>
        <w:pStyle w:val="Zkladntext"/>
        <w:rPr>
          <w:i w:val="0"/>
        </w:rPr>
      </w:pPr>
    </w:p>
    <w:p w14:paraId="51855C46" w14:textId="77777777" w:rsidR="006F500A" w:rsidRDefault="006F500A">
      <w:pPr>
        <w:pStyle w:val="Zkladntext"/>
        <w:spacing w:before="4"/>
        <w:rPr>
          <w:i w:val="0"/>
          <w:sz w:val="21"/>
        </w:rPr>
      </w:pPr>
    </w:p>
    <w:p w14:paraId="51855C47" w14:textId="77777777" w:rsidR="006F500A" w:rsidRDefault="00867120">
      <w:pPr>
        <w:ind w:left="137"/>
      </w:pPr>
      <w:r>
        <w:t>Příloha:</w:t>
      </w:r>
    </w:p>
    <w:p w14:paraId="51855C48" w14:textId="77777777" w:rsidR="006F500A" w:rsidRDefault="00867120">
      <w:pPr>
        <w:tabs>
          <w:tab w:val="left" w:pos="856"/>
        </w:tabs>
        <w:ind w:left="497"/>
        <w:rPr>
          <w:b/>
          <w:i/>
        </w:rPr>
      </w:pPr>
      <w:r>
        <w:lastRenderedPageBreak/>
        <w:t>-</w:t>
      </w:r>
      <w:r>
        <w:tab/>
      </w:r>
      <w:r>
        <w:rPr>
          <w:b/>
        </w:rPr>
        <w:t xml:space="preserve">Podepsané Čestné prohlášení žadatele o podporu v režimu </w:t>
      </w:r>
      <w:r>
        <w:rPr>
          <w:b/>
          <w:i/>
        </w:rPr>
        <w:t>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minimis</w:t>
      </w:r>
    </w:p>
    <w:sectPr w:rsidR="006F500A">
      <w:type w:val="continuous"/>
      <w:pgSz w:w="11910" w:h="16840"/>
      <w:pgMar w:top="1660" w:right="1280" w:bottom="116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55C55" w14:textId="77777777" w:rsidR="00867120" w:rsidRDefault="00867120">
      <w:r>
        <w:separator/>
      </w:r>
    </w:p>
  </w:endnote>
  <w:endnote w:type="continuationSeparator" w:id="0">
    <w:p w14:paraId="51855C57" w14:textId="77777777" w:rsidR="00867120" w:rsidRDefault="0086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55C50" w14:textId="77777777" w:rsidR="006F500A" w:rsidRDefault="00867120">
    <w:pPr>
      <w:pStyle w:val="Zkladn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1855C54" wp14:editId="51855C55">
          <wp:simplePos x="0" y="0"/>
          <wp:positionH relativeFrom="page">
            <wp:posOffset>895350</wp:posOffset>
          </wp:positionH>
          <wp:positionV relativeFrom="page">
            <wp:posOffset>9953625</wp:posOffset>
          </wp:positionV>
          <wp:extent cx="737869" cy="21907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869" cy="21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51855C56" wp14:editId="51855C57">
          <wp:simplePos x="0" y="0"/>
          <wp:positionH relativeFrom="page">
            <wp:posOffset>2676525</wp:posOffset>
          </wp:positionH>
          <wp:positionV relativeFrom="page">
            <wp:posOffset>10013314</wp:posOffset>
          </wp:positionV>
          <wp:extent cx="3971924" cy="124458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71924" cy="124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55C51" w14:textId="77777777" w:rsidR="00867120" w:rsidRDefault="00867120">
      <w:r>
        <w:separator/>
      </w:r>
    </w:p>
  </w:footnote>
  <w:footnote w:type="continuationSeparator" w:id="0">
    <w:p w14:paraId="51855C53" w14:textId="77777777" w:rsidR="00867120" w:rsidRDefault="00867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55C4F" w14:textId="481D0607" w:rsidR="006F500A" w:rsidRDefault="00867120">
    <w:pPr>
      <w:pStyle w:val="Zkladn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51855C51" wp14:editId="51855C52">
          <wp:simplePos x="0" y="0"/>
          <wp:positionH relativeFrom="page">
            <wp:posOffset>899795</wp:posOffset>
          </wp:positionH>
          <wp:positionV relativeFrom="page">
            <wp:posOffset>449578</wp:posOffset>
          </wp:positionV>
          <wp:extent cx="438149" cy="43581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49" cy="43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855C53" wp14:editId="30C9C87C">
              <wp:simplePos x="0" y="0"/>
              <wp:positionH relativeFrom="page">
                <wp:posOffset>4865370</wp:posOffset>
              </wp:positionH>
              <wp:positionV relativeFrom="page">
                <wp:posOffset>633095</wp:posOffset>
              </wp:positionV>
              <wp:extent cx="1796415" cy="165100"/>
              <wp:effectExtent l="0" t="0" r="0" b="0"/>
              <wp:wrapNone/>
              <wp:docPr id="18759340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4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55C59" w14:textId="77777777" w:rsidR="006F500A" w:rsidRDefault="00867120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Mobility and Intelligence s.r.o.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55C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3.1pt;margin-top:49.85pt;width:141.4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" filled="f" stroked="f">
              <v:textbox inset="0,0,0,0">
                <w:txbxContent>
                  <w:p w14:paraId="51855C59" w14:textId="77777777" w:rsidR="006F500A" w:rsidRDefault="00867120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Mobility and Intelligence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650B9"/>
    <w:multiLevelType w:val="hybridMultilevel"/>
    <w:tmpl w:val="38B4DB94"/>
    <w:lvl w:ilvl="0" w:tplc="43B01F74">
      <w:start w:val="1"/>
      <w:numFmt w:val="decimal"/>
      <w:lvlText w:val="%1."/>
      <w:lvlJc w:val="left"/>
      <w:pPr>
        <w:ind w:left="857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cs-CZ" w:eastAsia="cs-CZ" w:bidi="cs-CZ"/>
      </w:rPr>
    </w:lvl>
    <w:lvl w:ilvl="1" w:tplc="FC6432FC">
      <w:numFmt w:val="bullet"/>
      <w:lvlText w:val="•"/>
      <w:lvlJc w:val="left"/>
      <w:pPr>
        <w:ind w:left="1708" w:hanging="361"/>
      </w:pPr>
      <w:rPr>
        <w:rFonts w:hint="default"/>
        <w:lang w:val="cs-CZ" w:eastAsia="cs-CZ" w:bidi="cs-CZ"/>
      </w:rPr>
    </w:lvl>
    <w:lvl w:ilvl="2" w:tplc="5AB6549A">
      <w:numFmt w:val="bullet"/>
      <w:lvlText w:val="•"/>
      <w:lvlJc w:val="left"/>
      <w:pPr>
        <w:ind w:left="2556" w:hanging="361"/>
      </w:pPr>
      <w:rPr>
        <w:rFonts w:hint="default"/>
        <w:lang w:val="cs-CZ" w:eastAsia="cs-CZ" w:bidi="cs-CZ"/>
      </w:rPr>
    </w:lvl>
    <w:lvl w:ilvl="3" w:tplc="028C370C">
      <w:numFmt w:val="bullet"/>
      <w:lvlText w:val="•"/>
      <w:lvlJc w:val="left"/>
      <w:pPr>
        <w:ind w:left="3404" w:hanging="361"/>
      </w:pPr>
      <w:rPr>
        <w:rFonts w:hint="default"/>
        <w:lang w:val="cs-CZ" w:eastAsia="cs-CZ" w:bidi="cs-CZ"/>
      </w:rPr>
    </w:lvl>
    <w:lvl w:ilvl="4" w:tplc="34228234">
      <w:numFmt w:val="bullet"/>
      <w:lvlText w:val="•"/>
      <w:lvlJc w:val="left"/>
      <w:pPr>
        <w:ind w:left="4252" w:hanging="361"/>
      </w:pPr>
      <w:rPr>
        <w:rFonts w:hint="default"/>
        <w:lang w:val="cs-CZ" w:eastAsia="cs-CZ" w:bidi="cs-CZ"/>
      </w:rPr>
    </w:lvl>
    <w:lvl w:ilvl="5" w:tplc="68E80050">
      <w:numFmt w:val="bullet"/>
      <w:lvlText w:val="•"/>
      <w:lvlJc w:val="left"/>
      <w:pPr>
        <w:ind w:left="5100" w:hanging="361"/>
      </w:pPr>
      <w:rPr>
        <w:rFonts w:hint="default"/>
        <w:lang w:val="cs-CZ" w:eastAsia="cs-CZ" w:bidi="cs-CZ"/>
      </w:rPr>
    </w:lvl>
    <w:lvl w:ilvl="6" w:tplc="61CC2992">
      <w:numFmt w:val="bullet"/>
      <w:lvlText w:val="•"/>
      <w:lvlJc w:val="left"/>
      <w:pPr>
        <w:ind w:left="5948" w:hanging="361"/>
      </w:pPr>
      <w:rPr>
        <w:rFonts w:hint="default"/>
        <w:lang w:val="cs-CZ" w:eastAsia="cs-CZ" w:bidi="cs-CZ"/>
      </w:rPr>
    </w:lvl>
    <w:lvl w:ilvl="7" w:tplc="155E35B2">
      <w:numFmt w:val="bullet"/>
      <w:lvlText w:val="•"/>
      <w:lvlJc w:val="left"/>
      <w:pPr>
        <w:ind w:left="6796" w:hanging="361"/>
      </w:pPr>
      <w:rPr>
        <w:rFonts w:hint="default"/>
        <w:lang w:val="cs-CZ" w:eastAsia="cs-CZ" w:bidi="cs-CZ"/>
      </w:rPr>
    </w:lvl>
    <w:lvl w:ilvl="8" w:tplc="49AE1986">
      <w:numFmt w:val="bullet"/>
      <w:lvlText w:val="•"/>
      <w:lvlJc w:val="left"/>
      <w:pPr>
        <w:ind w:left="7644" w:hanging="361"/>
      </w:pPr>
      <w:rPr>
        <w:rFonts w:hint="default"/>
        <w:lang w:val="cs-CZ" w:eastAsia="cs-CZ" w:bidi="cs-CZ"/>
      </w:rPr>
    </w:lvl>
  </w:abstractNum>
  <w:abstractNum w:abstractNumId="1" w15:restartNumberingAfterBreak="0">
    <w:nsid w:val="1FC63083"/>
    <w:multiLevelType w:val="hybridMultilevel"/>
    <w:tmpl w:val="79B23ACA"/>
    <w:lvl w:ilvl="0" w:tplc="D8B65852">
      <w:start w:val="1"/>
      <w:numFmt w:val="decimal"/>
      <w:lvlText w:val="%1."/>
      <w:lvlJc w:val="left"/>
      <w:pPr>
        <w:ind w:left="857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cs-CZ" w:eastAsia="cs-CZ" w:bidi="cs-CZ"/>
      </w:rPr>
    </w:lvl>
    <w:lvl w:ilvl="1" w:tplc="D7F0B3AC">
      <w:start w:val="1"/>
      <w:numFmt w:val="decimal"/>
      <w:lvlText w:val="%2."/>
      <w:lvlJc w:val="left"/>
      <w:pPr>
        <w:ind w:left="1211" w:hanging="361"/>
        <w:jc w:val="left"/>
      </w:pPr>
      <w:rPr>
        <w:rFonts w:ascii="Calibri" w:eastAsia="Calibri" w:hAnsi="Calibri" w:cs="Calibri" w:hint="default"/>
        <w:i/>
        <w:w w:val="99"/>
        <w:sz w:val="22"/>
        <w:szCs w:val="22"/>
        <w:lang w:val="cs-CZ" w:eastAsia="cs-CZ" w:bidi="cs-CZ"/>
      </w:rPr>
    </w:lvl>
    <w:lvl w:ilvl="2" w:tplc="41C81B0E">
      <w:numFmt w:val="bullet"/>
      <w:lvlText w:val="•"/>
      <w:lvlJc w:val="left"/>
      <w:pPr>
        <w:ind w:left="2122" w:hanging="361"/>
      </w:pPr>
      <w:rPr>
        <w:rFonts w:hint="default"/>
        <w:lang w:val="cs-CZ" w:eastAsia="cs-CZ" w:bidi="cs-CZ"/>
      </w:rPr>
    </w:lvl>
    <w:lvl w:ilvl="3" w:tplc="5260998C">
      <w:numFmt w:val="bullet"/>
      <w:lvlText w:val="•"/>
      <w:lvlJc w:val="left"/>
      <w:pPr>
        <w:ind w:left="3024" w:hanging="361"/>
      </w:pPr>
      <w:rPr>
        <w:rFonts w:hint="default"/>
        <w:lang w:val="cs-CZ" w:eastAsia="cs-CZ" w:bidi="cs-CZ"/>
      </w:rPr>
    </w:lvl>
    <w:lvl w:ilvl="4" w:tplc="11A42D00">
      <w:numFmt w:val="bullet"/>
      <w:lvlText w:val="•"/>
      <w:lvlJc w:val="left"/>
      <w:pPr>
        <w:ind w:left="3926" w:hanging="361"/>
      </w:pPr>
      <w:rPr>
        <w:rFonts w:hint="default"/>
        <w:lang w:val="cs-CZ" w:eastAsia="cs-CZ" w:bidi="cs-CZ"/>
      </w:rPr>
    </w:lvl>
    <w:lvl w:ilvl="5" w:tplc="C2D286AA">
      <w:numFmt w:val="bullet"/>
      <w:lvlText w:val="•"/>
      <w:lvlJc w:val="left"/>
      <w:pPr>
        <w:ind w:left="4829" w:hanging="361"/>
      </w:pPr>
      <w:rPr>
        <w:rFonts w:hint="default"/>
        <w:lang w:val="cs-CZ" w:eastAsia="cs-CZ" w:bidi="cs-CZ"/>
      </w:rPr>
    </w:lvl>
    <w:lvl w:ilvl="6" w:tplc="B650BD86">
      <w:numFmt w:val="bullet"/>
      <w:lvlText w:val="•"/>
      <w:lvlJc w:val="left"/>
      <w:pPr>
        <w:ind w:left="5731" w:hanging="361"/>
      </w:pPr>
      <w:rPr>
        <w:rFonts w:hint="default"/>
        <w:lang w:val="cs-CZ" w:eastAsia="cs-CZ" w:bidi="cs-CZ"/>
      </w:rPr>
    </w:lvl>
    <w:lvl w:ilvl="7" w:tplc="3D24ED06">
      <w:numFmt w:val="bullet"/>
      <w:lvlText w:val="•"/>
      <w:lvlJc w:val="left"/>
      <w:pPr>
        <w:ind w:left="6633" w:hanging="361"/>
      </w:pPr>
      <w:rPr>
        <w:rFonts w:hint="default"/>
        <w:lang w:val="cs-CZ" w:eastAsia="cs-CZ" w:bidi="cs-CZ"/>
      </w:rPr>
    </w:lvl>
    <w:lvl w:ilvl="8" w:tplc="C30C1678">
      <w:numFmt w:val="bullet"/>
      <w:lvlText w:val="•"/>
      <w:lvlJc w:val="left"/>
      <w:pPr>
        <w:ind w:left="7535" w:hanging="361"/>
      </w:pPr>
      <w:rPr>
        <w:rFonts w:hint="default"/>
        <w:lang w:val="cs-CZ" w:eastAsia="cs-CZ" w:bidi="cs-CZ"/>
      </w:rPr>
    </w:lvl>
  </w:abstractNum>
  <w:num w:numId="1" w16cid:durableId="1559852087">
    <w:abstractNumId w:val="0"/>
  </w:num>
  <w:num w:numId="2" w16cid:durableId="131559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0A"/>
    <w:rsid w:val="006F500A"/>
    <w:rsid w:val="00867120"/>
    <w:rsid w:val="009D45D0"/>
    <w:rsid w:val="00C5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1855BFA"/>
  <w15:docId w15:val="{96179159-2BF8-4B1E-B9E2-071C4ECD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802" w:right="2798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</w:rPr>
  </w:style>
  <w:style w:type="paragraph" w:styleId="Odstavecseseznamem">
    <w:name w:val="List Paragraph"/>
    <w:basedOn w:val="Normln"/>
    <w:uiPriority w:val="1"/>
    <w:qFormat/>
    <w:pPr>
      <w:ind w:left="857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Hradilová</dc:creator>
  <cp:lastModifiedBy>Olga Palová</cp:lastModifiedBy>
  <cp:revision>2</cp:revision>
  <dcterms:created xsi:type="dcterms:W3CDTF">2024-12-18T13:07:00Z</dcterms:created>
  <dcterms:modified xsi:type="dcterms:W3CDTF">2024-12-18T13:07:00Z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Acrobat PDFMaker 24 pro Word</vt:lpwstr>
  </property>
  <property fmtid="{D5CDD505-2E9C-101B-9397-08002B2CF9AE}" pid="4" name="LastSaved">
    <vt:filetime>2024-12-18T00:00:00Z</vt:filetime>
  </property>
</Properties>
</file>