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853C5A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3F" w:rsidRDefault="004E1D3F" w:rsidP="00BB2C84">
      <w:pPr>
        <w:spacing w:after="0" w:line="240" w:lineRule="auto"/>
      </w:pPr>
      <w:r>
        <w:separator/>
      </w:r>
    </w:p>
  </w:endnote>
  <w:endnote w:type="continuationSeparator" w:id="0">
    <w:p w:rsidR="004E1D3F" w:rsidRDefault="004E1D3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3B7CB5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3B7CB5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3F" w:rsidRDefault="004E1D3F" w:rsidP="00BB2C84">
      <w:pPr>
        <w:spacing w:after="0" w:line="240" w:lineRule="auto"/>
      </w:pPr>
      <w:r>
        <w:separator/>
      </w:r>
    </w:p>
  </w:footnote>
  <w:footnote w:type="continuationSeparator" w:id="0">
    <w:p w:rsidR="004E1D3F" w:rsidRDefault="004E1D3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7D5DF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2D3741DE" wp14:editId="3BE6A6C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853C5A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1</w:t>
    </w:r>
    <w:r w:rsidR="005F25D7"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1A9A1FC7" wp14:editId="25C1E13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853C5A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</w:t>
    </w:r>
    <w:r w:rsidR="003B7CB5">
      <w:rPr>
        <w:rFonts w:ascii="Arial" w:hAnsi="Arial" w:cs="Arial"/>
        <w:color w:val="000000" w:themeColor="text1"/>
      </w:rPr>
      <w:t>íslo 960401-009</w:t>
    </w:r>
    <w:r w:rsidR="005F25D7">
      <w:rPr>
        <w:rFonts w:ascii="Arial" w:hAnsi="Arial" w:cs="Arial"/>
        <w:color w:val="000000" w:themeColor="text1"/>
      </w:rPr>
      <w:t>2/2017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DDA78E9" wp14:editId="615D318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B7CB5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1D3F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25D7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D5DF4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3C5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643DF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9DD67-7E1F-44F3-9B75-9C54DC8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Lišková Lucie Ing.</cp:lastModifiedBy>
  <cp:revision>2</cp:revision>
  <cp:lastPrinted>2013-07-25T09:46:00Z</cp:lastPrinted>
  <dcterms:created xsi:type="dcterms:W3CDTF">2017-06-28T13:21:00Z</dcterms:created>
  <dcterms:modified xsi:type="dcterms:W3CDTF">2017-06-28T13:21:00Z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