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232"/>
        <w:gridCol w:w="2036"/>
        <w:gridCol w:w="4529"/>
      </w:tblGrid>
      <w:tr w:rsidR="008C59E4" w:rsidRPr="005D2118" w14:paraId="10DE89EE" w14:textId="77777777" w:rsidTr="007E44AB">
        <w:trPr>
          <w:gridAfter w:val="2"/>
          <w:wAfter w:w="6565" w:type="dxa"/>
          <w:trHeight w:val="836"/>
        </w:trPr>
        <w:tc>
          <w:tcPr>
            <w:tcW w:w="3500" w:type="dxa"/>
            <w:gridSpan w:val="2"/>
            <w:vAlign w:val="center"/>
          </w:tcPr>
          <w:p w14:paraId="51A0620E" w14:textId="77777777" w:rsidR="008C59E4" w:rsidRPr="005D2118" w:rsidRDefault="008C59E4" w:rsidP="005D2118">
            <w:pPr>
              <w:keepNext/>
              <w:keepLines/>
              <w:spacing w:before="40" w:after="0" w:line="341" w:lineRule="auto"/>
              <w:ind w:left="351" w:right="5" w:hanging="351"/>
              <w:jc w:val="center"/>
              <w:outlineLvl w:val="1"/>
              <w:rPr>
                <w:rFonts w:asciiTheme="majorHAnsi" w:eastAsiaTheme="majorEastAsia" w:hAnsiTheme="majorHAnsi" w:cstheme="majorBidi"/>
                <w:i/>
                <w:color w:val="2F5496" w:themeColor="accent1" w:themeShade="BF"/>
                <w:sz w:val="26"/>
                <w:szCs w:val="26"/>
              </w:rPr>
            </w:pPr>
            <w:r w:rsidRPr="005D211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Směrnice pro výkon služby FO</w:t>
            </w:r>
          </w:p>
        </w:tc>
      </w:tr>
      <w:tr w:rsidR="005D2118" w:rsidRPr="005D2118" w14:paraId="469ED8A0" w14:textId="77777777" w:rsidTr="00CD4891">
        <w:trPr>
          <w:trHeight w:val="7639"/>
        </w:trPr>
        <w:tc>
          <w:tcPr>
            <w:tcW w:w="10065" w:type="dxa"/>
            <w:gridSpan w:val="4"/>
          </w:tcPr>
          <w:p w14:paraId="445E36F1" w14:textId="5440B64C" w:rsidR="005D2118" w:rsidRPr="005D2118" w:rsidRDefault="005D2118" w:rsidP="005D2118">
            <w:pPr>
              <w:spacing w:after="126" w:line="341" w:lineRule="auto"/>
              <w:ind w:left="351" w:right="5" w:hanging="351"/>
              <w:rPr>
                <w:rFonts w:ascii="Times New Roman" w:hAnsi="Times New Roman"/>
              </w:rPr>
            </w:pPr>
          </w:p>
          <w:p w14:paraId="6D6EA054" w14:textId="77777777" w:rsidR="005D2118" w:rsidRPr="005D2118" w:rsidRDefault="005D2118" w:rsidP="005D2118">
            <w:pPr>
              <w:spacing w:after="126" w:line="341" w:lineRule="auto"/>
              <w:ind w:left="0" w:right="5" w:firstLine="0"/>
              <w:rPr>
                <w:b/>
                <w:color w:val="C00000"/>
                <w:sz w:val="40"/>
                <w:szCs w:val="40"/>
              </w:rPr>
            </w:pPr>
            <w:r w:rsidRPr="005D2118">
              <w:rPr>
                <w:rFonts w:ascii="Times New Roman" w:hAnsi="Times New Roman"/>
              </w:rPr>
              <w:t xml:space="preserve">                                                             </w:t>
            </w:r>
            <w:r w:rsidRPr="005D2118">
              <w:rPr>
                <w:b/>
                <w:color w:val="C00000"/>
                <w:sz w:val="40"/>
                <w:szCs w:val="40"/>
              </w:rPr>
              <w:t>SMĚRNICE</w:t>
            </w:r>
          </w:p>
          <w:p w14:paraId="48099C1E" w14:textId="77777777" w:rsidR="005D2118" w:rsidRPr="005D2118" w:rsidRDefault="005D2118" w:rsidP="005D2118">
            <w:pPr>
              <w:spacing w:after="126" w:line="341" w:lineRule="auto"/>
              <w:ind w:left="351" w:right="5" w:hanging="351"/>
              <w:jc w:val="center"/>
              <w:rPr>
                <w:b/>
                <w:color w:val="C00000"/>
                <w:sz w:val="40"/>
                <w:szCs w:val="40"/>
              </w:rPr>
            </w:pPr>
            <w:r w:rsidRPr="005D2118">
              <w:rPr>
                <w:b/>
                <w:color w:val="C00000"/>
                <w:sz w:val="40"/>
                <w:szCs w:val="40"/>
              </w:rPr>
              <w:t>PRO VÝKON SLUŽBY FYZICKÉ OSTRAHY</w:t>
            </w:r>
          </w:p>
          <w:p w14:paraId="33B7106D" w14:textId="21CD33FB" w:rsidR="005D2118" w:rsidRPr="005D2118" w:rsidRDefault="005D2118" w:rsidP="005D2118">
            <w:pPr>
              <w:spacing w:after="126" w:line="341" w:lineRule="auto"/>
              <w:ind w:left="0" w:right="5" w:firstLine="0"/>
              <w:rPr>
                <w:b/>
                <w:sz w:val="32"/>
                <w:szCs w:val="40"/>
              </w:rPr>
            </w:pPr>
            <w:r w:rsidRPr="005D2118">
              <w:rPr>
                <w:rFonts w:ascii="Times New Roman" w:hAnsi="Times New Roman"/>
                <w:b/>
                <w:sz w:val="40"/>
                <w:szCs w:val="40"/>
              </w:rPr>
              <w:t xml:space="preserve">                                    </w:t>
            </w:r>
            <w:r w:rsidRPr="005D2118">
              <w:rPr>
                <w:b/>
                <w:sz w:val="32"/>
                <w:szCs w:val="40"/>
              </w:rPr>
              <w:t>objektu</w:t>
            </w:r>
          </w:p>
          <w:p w14:paraId="5DBF959A" w14:textId="65DF2E73" w:rsidR="000520BE" w:rsidRDefault="00AC491D" w:rsidP="00AC491D">
            <w:pPr>
              <w:spacing w:after="16" w:line="259" w:lineRule="auto"/>
              <w:ind w:left="46" w:right="0" w:firstLine="0"/>
              <w:jc w:val="center"/>
            </w:pPr>
            <w:r>
              <w:rPr>
                <w:b/>
                <w:sz w:val="28"/>
              </w:rPr>
              <w:t>Ředitelství Muzea hl. m. Prahy, Kožná 1, Praha 1</w:t>
            </w:r>
          </w:p>
          <w:p w14:paraId="10FE0429" w14:textId="2AF242E6" w:rsidR="005D2118" w:rsidRPr="005D2118" w:rsidRDefault="005D2118" w:rsidP="005D2118">
            <w:pPr>
              <w:spacing w:after="141" w:line="259" w:lineRule="auto"/>
              <w:ind w:left="74" w:right="0" w:firstLine="0"/>
              <w:jc w:val="left"/>
            </w:pPr>
          </w:p>
          <w:p w14:paraId="7BF25535" w14:textId="77777777" w:rsidR="005D2118" w:rsidRPr="005D2118" w:rsidRDefault="005D2118" w:rsidP="005D2118">
            <w:pPr>
              <w:spacing w:after="126" w:line="341" w:lineRule="auto"/>
              <w:ind w:left="351" w:right="5" w:hanging="35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1ABBDAED" w14:textId="77777777" w:rsidR="005D2118" w:rsidRPr="005D2118" w:rsidRDefault="005D2118" w:rsidP="005D2118">
            <w:pPr>
              <w:spacing w:after="60" w:line="240" w:lineRule="auto"/>
              <w:ind w:left="0" w:right="0" w:firstLine="0"/>
              <w:jc w:val="center"/>
              <w:rPr>
                <w:rFonts w:eastAsia="Times New Roman" w:cs="Times New Roman"/>
                <w:b/>
                <w:color w:val="auto"/>
                <w:sz w:val="32"/>
                <w:szCs w:val="20"/>
              </w:rPr>
            </w:pPr>
          </w:p>
          <w:p w14:paraId="33CA7590" w14:textId="77777777" w:rsidR="005D2118" w:rsidRPr="005D2118" w:rsidRDefault="005D2118" w:rsidP="005D2118">
            <w:pPr>
              <w:spacing w:after="60" w:line="240" w:lineRule="auto"/>
              <w:ind w:left="0" w:right="0" w:firstLine="0"/>
              <w:jc w:val="center"/>
              <w:rPr>
                <w:rFonts w:eastAsia="Times New Roman" w:cs="Times New Roman"/>
                <w:b/>
                <w:color w:val="auto"/>
                <w:sz w:val="32"/>
                <w:szCs w:val="20"/>
              </w:rPr>
            </w:pPr>
          </w:p>
          <w:p w14:paraId="790CE961" w14:textId="77777777" w:rsidR="005D2118" w:rsidRPr="005D2118" w:rsidRDefault="005D2118" w:rsidP="005D2118">
            <w:pPr>
              <w:spacing w:after="60" w:line="240" w:lineRule="auto"/>
              <w:ind w:left="0" w:right="0" w:firstLine="0"/>
              <w:rPr>
                <w:rFonts w:eastAsia="Times New Roman" w:cs="Times New Roman"/>
                <w:b/>
                <w:color w:val="auto"/>
                <w:sz w:val="28"/>
                <w:szCs w:val="20"/>
              </w:rPr>
            </w:pPr>
            <w:r w:rsidRPr="005D2118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t xml:space="preserve">                                       </w:t>
            </w:r>
          </w:p>
          <w:p w14:paraId="7F6226CB" w14:textId="77777777" w:rsidR="005D2118" w:rsidRPr="005D2118" w:rsidRDefault="005D2118" w:rsidP="005D2118">
            <w:pPr>
              <w:spacing w:after="60" w:line="240" w:lineRule="auto"/>
              <w:ind w:left="0" w:right="0" w:firstLine="0"/>
              <w:rPr>
                <w:rFonts w:eastAsia="Times New Roman" w:cs="Times New Roman"/>
                <w:b/>
                <w:color w:val="auto"/>
                <w:sz w:val="28"/>
                <w:szCs w:val="20"/>
              </w:rPr>
            </w:pPr>
          </w:p>
          <w:p w14:paraId="737743FC" w14:textId="77777777" w:rsidR="005D2118" w:rsidRPr="005D2118" w:rsidRDefault="005D2118" w:rsidP="005D2118">
            <w:pPr>
              <w:spacing w:after="60" w:line="240" w:lineRule="auto"/>
              <w:ind w:left="0" w:right="0" w:firstLine="0"/>
              <w:rPr>
                <w:rFonts w:eastAsia="Times New Roman" w:cs="Times New Roman"/>
                <w:b/>
                <w:color w:val="auto"/>
                <w:sz w:val="28"/>
                <w:szCs w:val="20"/>
              </w:rPr>
            </w:pPr>
            <w:r w:rsidRPr="005D2118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t xml:space="preserve">                                                   </w:t>
            </w:r>
          </w:p>
          <w:p w14:paraId="41781FB2" w14:textId="77777777" w:rsidR="005D2118" w:rsidRPr="005D2118" w:rsidRDefault="005D2118" w:rsidP="005D2118">
            <w:pPr>
              <w:spacing w:after="126" w:line="341" w:lineRule="auto"/>
              <w:ind w:left="351" w:right="5" w:hanging="351"/>
            </w:pPr>
            <w:r w:rsidRPr="005D2118">
              <w:t xml:space="preserve">Číslo </w:t>
            </w:r>
            <w:proofErr w:type="gramStart"/>
            <w:r w:rsidRPr="005D2118">
              <w:t>výtisku:  1</w:t>
            </w:r>
            <w:proofErr w:type="gramEnd"/>
            <w:r w:rsidRPr="005D2118">
              <w:t xml:space="preserve"> </w:t>
            </w:r>
          </w:p>
          <w:p w14:paraId="3864C0F6" w14:textId="77777777" w:rsidR="005D2118" w:rsidRPr="005D2118" w:rsidRDefault="005D2118" w:rsidP="005D2118">
            <w:pPr>
              <w:spacing w:after="126" w:line="341" w:lineRule="auto"/>
              <w:ind w:left="351" w:right="5" w:hanging="351"/>
            </w:pPr>
            <w:r w:rsidRPr="005D2118">
              <w:t>Počet výtisků: 2</w:t>
            </w:r>
          </w:p>
          <w:p w14:paraId="0C4B7A48" w14:textId="4C261085" w:rsidR="005D2118" w:rsidRPr="005D2118" w:rsidRDefault="0087710C" w:rsidP="005D2118">
            <w:pPr>
              <w:spacing w:after="126" w:line="341" w:lineRule="auto"/>
              <w:ind w:left="351" w:right="5" w:hanging="351"/>
              <w:rPr>
                <w:rFonts w:ascii="Times New Roman" w:hAnsi="Times New Roman"/>
              </w:rPr>
            </w:pPr>
            <w:r>
              <w:t>Účinnost</w:t>
            </w:r>
            <w:r w:rsidRPr="005D2118">
              <w:t xml:space="preserve"> </w:t>
            </w:r>
            <w:r w:rsidR="005D2118" w:rsidRPr="005D2118">
              <w:t xml:space="preserve">od: </w:t>
            </w:r>
            <w:r w:rsidR="005D2118" w:rsidRPr="00445AE1">
              <w:t>1.</w:t>
            </w:r>
            <w:r w:rsidR="00A702E9" w:rsidRPr="00445AE1">
              <w:t>1</w:t>
            </w:r>
            <w:r w:rsidR="005D2118" w:rsidRPr="00445AE1">
              <w:t>. 202</w:t>
            </w:r>
            <w:r w:rsidR="00A702E9" w:rsidRPr="00445AE1">
              <w:t>5</w:t>
            </w:r>
            <w:r w:rsidR="005D2118" w:rsidRPr="00445AE1">
              <w:t>.</w:t>
            </w:r>
          </w:p>
        </w:tc>
      </w:tr>
      <w:tr w:rsidR="005D2118" w:rsidRPr="005D2118" w14:paraId="10E882C2" w14:textId="0DEFB04D" w:rsidTr="00473275">
        <w:trPr>
          <w:trHeight w:hRule="exact" w:val="2036"/>
        </w:trPr>
        <w:tc>
          <w:tcPr>
            <w:tcW w:w="2268" w:type="dxa"/>
            <w:vAlign w:val="center"/>
          </w:tcPr>
          <w:p w14:paraId="56E93C01" w14:textId="62B40E02" w:rsidR="005D2118" w:rsidRPr="005D2118" w:rsidRDefault="005D2118" w:rsidP="00473275">
            <w:pPr>
              <w:spacing w:after="126" w:line="341" w:lineRule="auto"/>
              <w:ind w:left="0" w:right="5" w:firstLine="0"/>
              <w:jc w:val="left"/>
            </w:pPr>
            <w:r w:rsidRPr="005D2118">
              <w:t xml:space="preserve">Vypracoval schválil </w:t>
            </w:r>
          </w:p>
          <w:p w14:paraId="4CAFCFF3" w14:textId="77777777" w:rsidR="005D2118" w:rsidRPr="005D2118" w:rsidRDefault="005D2118" w:rsidP="00473275">
            <w:pPr>
              <w:spacing w:before="120" w:after="126" w:line="341" w:lineRule="auto"/>
              <w:ind w:left="351" w:right="5" w:hanging="351"/>
              <w:jc w:val="left"/>
            </w:pPr>
            <w:r w:rsidRPr="005D2118">
              <w:t>Muzeum Hlavního města Prahy</w:t>
            </w:r>
          </w:p>
          <w:p w14:paraId="0FC97219" w14:textId="70540B90" w:rsidR="005D2118" w:rsidRPr="005D2118" w:rsidRDefault="005D2118" w:rsidP="00473275">
            <w:pPr>
              <w:spacing w:before="120" w:after="126" w:line="341" w:lineRule="auto"/>
              <w:ind w:left="351" w:right="5" w:hanging="351"/>
              <w:jc w:val="left"/>
            </w:pPr>
          </w:p>
        </w:tc>
        <w:tc>
          <w:tcPr>
            <w:tcW w:w="3268" w:type="dxa"/>
            <w:gridSpan w:val="2"/>
            <w:vAlign w:val="center"/>
          </w:tcPr>
          <w:p w14:paraId="3E2AF43C" w14:textId="77777777" w:rsidR="005D2118" w:rsidRPr="005D2118" w:rsidRDefault="005D2118" w:rsidP="005D2118">
            <w:pPr>
              <w:spacing w:after="126" w:line="341" w:lineRule="auto"/>
              <w:ind w:left="0" w:right="5" w:firstLine="0"/>
            </w:pPr>
            <w:r w:rsidRPr="005D2118">
              <w:rPr>
                <w:bCs/>
              </w:rPr>
              <w:t xml:space="preserve">Dne: </w:t>
            </w:r>
          </w:p>
        </w:tc>
        <w:tc>
          <w:tcPr>
            <w:tcW w:w="4529" w:type="dxa"/>
            <w:vAlign w:val="center"/>
          </w:tcPr>
          <w:p w14:paraId="58288B62" w14:textId="77777777" w:rsidR="005D2118" w:rsidRDefault="005D2118" w:rsidP="005D2118">
            <w:pPr>
              <w:spacing w:after="160" w:line="259" w:lineRule="auto"/>
              <w:ind w:left="0" w:right="0" w:firstLine="0"/>
              <w:jc w:val="left"/>
              <w:rPr>
                <w:bCs/>
              </w:rPr>
            </w:pPr>
            <w:r w:rsidRPr="00D94A1F">
              <w:rPr>
                <w:bCs/>
              </w:rPr>
              <w:t>Podpis:</w:t>
            </w:r>
          </w:p>
          <w:p w14:paraId="3F4B3E62" w14:textId="2CC68D54" w:rsidR="005D2118" w:rsidRPr="005D2118" w:rsidRDefault="005D2118" w:rsidP="005D21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2118" w:rsidRPr="005D2118" w14:paraId="035DD9EA" w14:textId="0A5F9E76" w:rsidTr="00473275">
        <w:trPr>
          <w:trHeight w:hRule="exact" w:val="2138"/>
        </w:trPr>
        <w:tc>
          <w:tcPr>
            <w:tcW w:w="2268" w:type="dxa"/>
            <w:vAlign w:val="center"/>
          </w:tcPr>
          <w:p w14:paraId="42ED019A" w14:textId="77777777" w:rsidR="005D2118" w:rsidRDefault="005D2118" w:rsidP="00473275">
            <w:pPr>
              <w:spacing w:before="120" w:after="126" w:line="341" w:lineRule="auto"/>
              <w:ind w:left="351" w:right="5" w:hanging="351"/>
              <w:jc w:val="left"/>
            </w:pPr>
            <w:r w:rsidRPr="00132419">
              <w:t>Schválil za:</w:t>
            </w:r>
          </w:p>
          <w:p w14:paraId="46F967AA" w14:textId="24750A06" w:rsidR="00132419" w:rsidRPr="00132419" w:rsidRDefault="007A156D" w:rsidP="00473275">
            <w:pPr>
              <w:spacing w:before="120" w:after="126" w:line="341" w:lineRule="auto"/>
              <w:ind w:left="351" w:right="5" w:hanging="351"/>
              <w:jc w:val="left"/>
            </w:pPr>
            <w:r w:rsidRPr="007A156D">
              <w:t>BLESK Servis s.r.o.</w:t>
            </w:r>
          </w:p>
          <w:p w14:paraId="6EE658A3" w14:textId="77777777" w:rsidR="005D2118" w:rsidRDefault="005D2118" w:rsidP="00473275">
            <w:pPr>
              <w:spacing w:after="126" w:line="341" w:lineRule="auto"/>
              <w:ind w:left="351" w:right="5" w:hanging="351"/>
              <w:jc w:val="left"/>
            </w:pPr>
            <w:r w:rsidRPr="00132419">
              <w:t>Jednatel</w:t>
            </w:r>
          </w:p>
          <w:p w14:paraId="727611D4" w14:textId="77777777" w:rsidR="00473275" w:rsidRDefault="00473275" w:rsidP="00473275">
            <w:pPr>
              <w:spacing w:after="126" w:line="341" w:lineRule="auto"/>
              <w:ind w:left="351" w:right="5" w:hanging="351"/>
              <w:jc w:val="left"/>
            </w:pPr>
          </w:p>
          <w:p w14:paraId="7B6FBFD3" w14:textId="15E35097" w:rsidR="00473275" w:rsidRPr="008C59E4" w:rsidRDefault="00473275" w:rsidP="00473275">
            <w:pPr>
              <w:spacing w:after="126" w:line="341" w:lineRule="auto"/>
              <w:ind w:left="351" w:right="5" w:hanging="351"/>
              <w:jc w:val="left"/>
              <w:rPr>
                <w:highlight w:val="yellow"/>
              </w:rPr>
            </w:pPr>
            <w:r w:rsidRPr="00174629">
              <w:t>Jakubem Šindelářem</w:t>
            </w:r>
          </w:p>
        </w:tc>
        <w:tc>
          <w:tcPr>
            <w:tcW w:w="3268" w:type="dxa"/>
            <w:gridSpan w:val="2"/>
            <w:vAlign w:val="center"/>
          </w:tcPr>
          <w:p w14:paraId="091EF306" w14:textId="308A4A94" w:rsidR="005D2118" w:rsidRPr="005D2118" w:rsidRDefault="005D2118" w:rsidP="005D2118">
            <w:pPr>
              <w:spacing w:after="126" w:line="341" w:lineRule="auto"/>
              <w:ind w:left="351" w:right="5" w:hanging="351"/>
              <w:rPr>
                <w:bCs/>
              </w:rPr>
            </w:pPr>
            <w:r w:rsidRPr="005D2118">
              <w:rPr>
                <w:bCs/>
              </w:rPr>
              <w:t>Dne:</w:t>
            </w:r>
          </w:p>
        </w:tc>
        <w:tc>
          <w:tcPr>
            <w:tcW w:w="4529" w:type="dxa"/>
            <w:vAlign w:val="center"/>
          </w:tcPr>
          <w:p w14:paraId="114EC4AD" w14:textId="15DBCFFB" w:rsidR="005D2118" w:rsidRPr="005D2118" w:rsidRDefault="005D2118" w:rsidP="005D2118">
            <w:pPr>
              <w:spacing w:after="160" w:line="259" w:lineRule="auto"/>
              <w:ind w:left="0" w:right="0" w:firstLine="0"/>
              <w:jc w:val="left"/>
              <w:rPr>
                <w:bCs/>
              </w:rPr>
            </w:pPr>
            <w:r w:rsidRPr="00D94A1F">
              <w:rPr>
                <w:bCs/>
              </w:rPr>
              <w:t>Podpi</w:t>
            </w:r>
            <w:r>
              <w:rPr>
                <w:bCs/>
              </w:rPr>
              <w:t>s</w:t>
            </w:r>
            <w:r w:rsidRPr="00D94A1F">
              <w:rPr>
                <w:bCs/>
              </w:rPr>
              <w:t>:</w:t>
            </w:r>
          </w:p>
        </w:tc>
      </w:tr>
    </w:tbl>
    <w:p w14:paraId="18A81CE5" w14:textId="4693DAEB" w:rsidR="005D2118" w:rsidRDefault="005D2118">
      <w:pPr>
        <w:spacing w:after="780" w:line="259" w:lineRule="auto"/>
        <w:ind w:left="0" w:right="0" w:firstLine="0"/>
        <w:jc w:val="left"/>
        <w:rPr>
          <w:sz w:val="22"/>
        </w:rPr>
      </w:pPr>
    </w:p>
    <w:p w14:paraId="546E2B6B" w14:textId="77777777" w:rsidR="005D2118" w:rsidRDefault="005D2118">
      <w:pPr>
        <w:spacing w:after="780" w:line="259" w:lineRule="auto"/>
        <w:ind w:left="0" w:right="0" w:firstLine="0"/>
        <w:jc w:val="left"/>
        <w:rPr>
          <w:sz w:val="22"/>
        </w:rPr>
      </w:pPr>
    </w:p>
    <w:p w14:paraId="43D14159" w14:textId="77777777" w:rsidR="005B2020" w:rsidRDefault="001A0BB2">
      <w:pPr>
        <w:spacing w:after="328" w:line="259" w:lineRule="auto"/>
        <w:ind w:left="0" w:right="0" w:firstLine="0"/>
        <w:jc w:val="left"/>
      </w:pPr>
      <w:r>
        <w:lastRenderedPageBreak/>
        <w:t xml:space="preserve">                     </w:t>
      </w:r>
    </w:p>
    <w:p w14:paraId="4DC4C621" w14:textId="77777777" w:rsidR="005B2020" w:rsidRDefault="001A0BB2">
      <w:pPr>
        <w:spacing w:after="91" w:line="259" w:lineRule="auto"/>
        <w:ind w:left="0" w:right="100" w:firstLine="0"/>
        <w:jc w:val="center"/>
      </w:pPr>
      <w:r>
        <w:rPr>
          <w:b/>
          <w:sz w:val="32"/>
        </w:rPr>
        <w:t xml:space="preserve">Směrnice pro výkon fyzické ostrahy </w:t>
      </w:r>
    </w:p>
    <w:p w14:paraId="10F1AED1" w14:textId="77777777" w:rsidR="005B2020" w:rsidRDefault="001A0BB2">
      <w:pPr>
        <w:spacing w:after="275" w:line="259" w:lineRule="auto"/>
        <w:ind w:left="48" w:right="0" w:firstLine="0"/>
        <w:jc w:val="center"/>
      </w:pPr>
      <w:r>
        <w:rPr>
          <w:sz w:val="28"/>
        </w:rPr>
        <w:t xml:space="preserve">v objektu  </w:t>
      </w:r>
    </w:p>
    <w:p w14:paraId="22CC3EB3" w14:textId="64CA2ADE" w:rsidR="005B2020" w:rsidRPr="004E7433" w:rsidRDefault="001A0BB2">
      <w:pPr>
        <w:spacing w:after="16" w:line="259" w:lineRule="auto"/>
        <w:ind w:left="46" w:right="0" w:firstLine="0"/>
        <w:jc w:val="left"/>
        <w:rPr>
          <w:sz w:val="36"/>
          <w:szCs w:val="36"/>
        </w:rPr>
      </w:pPr>
      <w:r>
        <w:rPr>
          <w:b/>
          <w:sz w:val="40"/>
        </w:rPr>
        <w:t xml:space="preserve"> </w:t>
      </w:r>
      <w:r w:rsidR="004E7433" w:rsidRPr="004E7433">
        <w:rPr>
          <w:b/>
          <w:sz w:val="36"/>
          <w:szCs w:val="36"/>
        </w:rPr>
        <w:t>Ředitelství Muzea hl. m. Prahy, Kožná 1, Praha 1</w:t>
      </w:r>
    </w:p>
    <w:p w14:paraId="108E2A67" w14:textId="77777777" w:rsidR="005B2020" w:rsidRDefault="001A0BB2">
      <w:pPr>
        <w:spacing w:after="172" w:line="259" w:lineRule="auto"/>
        <w:ind w:left="0" w:right="29" w:firstLine="0"/>
        <w:jc w:val="right"/>
      </w:pPr>
      <w:r>
        <w:t xml:space="preserve"> </w:t>
      </w:r>
    </w:p>
    <w:p w14:paraId="38FD6EEF" w14:textId="77777777" w:rsidR="005B2020" w:rsidRDefault="001A0BB2">
      <w:pPr>
        <w:spacing w:after="144" w:line="259" w:lineRule="auto"/>
        <w:ind w:right="101"/>
        <w:jc w:val="center"/>
      </w:pPr>
      <w:r>
        <w:rPr>
          <w:sz w:val="32"/>
        </w:rPr>
        <w:t xml:space="preserve">H L A V A   I. </w:t>
      </w:r>
    </w:p>
    <w:p w14:paraId="6D95A588" w14:textId="77777777" w:rsidR="005B2020" w:rsidRDefault="001A0BB2">
      <w:pPr>
        <w:spacing w:after="120" w:line="259" w:lineRule="auto"/>
        <w:ind w:right="99"/>
        <w:jc w:val="center"/>
      </w:pPr>
      <w:r>
        <w:rPr>
          <w:sz w:val="32"/>
        </w:rPr>
        <w:t xml:space="preserve"> Úvodní ustanovení </w:t>
      </w:r>
    </w:p>
    <w:p w14:paraId="20FC4307" w14:textId="77777777" w:rsidR="005B2020" w:rsidRDefault="001A0BB2">
      <w:pPr>
        <w:spacing w:after="222" w:line="259" w:lineRule="auto"/>
        <w:jc w:val="center"/>
      </w:pPr>
      <w:r>
        <w:t xml:space="preserve"> čl. l </w:t>
      </w:r>
    </w:p>
    <w:p w14:paraId="08A41752" w14:textId="772E842D" w:rsidR="005B2020" w:rsidRDefault="001A0BB2">
      <w:pPr>
        <w:spacing w:after="90"/>
        <w:ind w:left="-5" w:right="86"/>
      </w:pPr>
      <w:r>
        <w:t xml:space="preserve">Směrnice pro výkon fyzické ostrahy (dále jen „Směrnice“) vymezuje povinnosti bezpečnostních pracovníků při ostraze </w:t>
      </w:r>
      <w:r w:rsidR="00EC35DD">
        <w:t xml:space="preserve">objektu </w:t>
      </w:r>
      <w:r>
        <w:t xml:space="preserve">s jedním vjezdem pro vozidla a </w:t>
      </w:r>
      <w:r w:rsidR="006A017B">
        <w:t>jedním</w:t>
      </w:r>
      <w:r>
        <w:t xml:space="preserve"> vchod</w:t>
      </w:r>
      <w:r w:rsidR="006A017B">
        <w:t>em</w:t>
      </w:r>
      <w:r>
        <w:t xml:space="preserve"> do </w:t>
      </w:r>
      <w:r w:rsidR="00EC35DD">
        <w:t xml:space="preserve">objektu </w:t>
      </w:r>
      <w:r>
        <w:t>(</w:t>
      </w:r>
      <w:r w:rsidR="006A017B">
        <w:t>z ulice</w:t>
      </w:r>
      <w:r>
        <w:t xml:space="preserve">). </w:t>
      </w:r>
      <w:r w:rsidR="006A017B">
        <w:t>O</w:t>
      </w:r>
      <w:r>
        <w:t xml:space="preserve">bjekt se nalézá v ulici </w:t>
      </w:r>
      <w:r w:rsidR="006A017B">
        <w:t>Kožná 1/475</w:t>
      </w:r>
      <w:r>
        <w:t xml:space="preserve">, v Praze </w:t>
      </w:r>
      <w:r w:rsidR="006A017B">
        <w:t>1</w:t>
      </w:r>
      <w:r>
        <w:t xml:space="preserve"> – St</w:t>
      </w:r>
      <w:r w:rsidR="006A017B">
        <w:t>aré město</w:t>
      </w:r>
      <w:r w:rsidR="00EC35DD">
        <w:t xml:space="preserve"> (dále jen „</w:t>
      </w:r>
      <w:r w:rsidR="00185FCE">
        <w:t>Budova“ či „Objekt“)</w:t>
      </w:r>
      <w:r>
        <w:t xml:space="preserve">. Do </w:t>
      </w:r>
      <w:r w:rsidR="00185FCE">
        <w:t>B</w:t>
      </w:r>
      <w:r>
        <w:t>udovy je v doprovodu průvodců umožněn vstup veřejnosti</w:t>
      </w:r>
      <w:r w:rsidR="006A017B">
        <w:t xml:space="preserve"> pouze v pracovní dny a dny otevřených dveří</w:t>
      </w:r>
      <w:r>
        <w:t>. Objekt je zabezpečen EZS</w:t>
      </w:r>
      <w:r w:rsidR="006A017B">
        <w:t xml:space="preserve"> AJAX</w:t>
      </w:r>
      <w:r>
        <w:t xml:space="preserve">, </w:t>
      </w:r>
      <w:r w:rsidR="006A017B">
        <w:t xml:space="preserve">lokální </w:t>
      </w:r>
      <w:r>
        <w:t>EPS</w:t>
      </w:r>
      <w:r w:rsidR="006A017B">
        <w:t xml:space="preserve"> </w:t>
      </w:r>
      <w:proofErr w:type="spellStart"/>
      <w:r w:rsidR="006A017B">
        <w:t>Zettler</w:t>
      </w:r>
      <w:proofErr w:type="spellEnd"/>
      <w:r w:rsidR="006A017B">
        <w:t xml:space="preserve"> a dveřním </w:t>
      </w:r>
      <w:r w:rsidR="00782AAB">
        <w:t>kartový</w:t>
      </w:r>
      <w:r w:rsidR="00185FCE">
        <w:t>m</w:t>
      </w:r>
      <w:r w:rsidR="00782AAB">
        <w:t xml:space="preserve"> ACS </w:t>
      </w:r>
      <w:r w:rsidR="006A017B">
        <w:t>elektronickým systémem v</w:t>
      </w:r>
      <w:r w:rsidR="0086724F">
        <w:t> </w:t>
      </w:r>
      <w:r w:rsidR="006A017B">
        <w:t>recepci</w:t>
      </w:r>
      <w:r w:rsidR="0086724F">
        <w:t xml:space="preserve"> a </w:t>
      </w:r>
      <w:r w:rsidR="00185FCE">
        <w:t xml:space="preserve">v </w:t>
      </w:r>
      <w:r w:rsidR="0086724F">
        <w:t>kancelářích</w:t>
      </w:r>
      <w:r w:rsidR="006A017B">
        <w:t>.</w:t>
      </w:r>
      <w:r>
        <w:t xml:space="preserve"> Objekt je napojen na PCO </w:t>
      </w:r>
      <w:r w:rsidR="006A017B">
        <w:t xml:space="preserve">bezpečnostní agentury. </w:t>
      </w:r>
      <w:r w:rsidR="00185FCE">
        <w:t>Objekt n</w:t>
      </w:r>
      <w:r w:rsidR="006A017B">
        <w:t xml:space="preserve">ení propojen s PCO </w:t>
      </w:r>
      <w:r>
        <w:t xml:space="preserve">ZS. Směrnice nemůže postihnout bezpečnostní praxi v celém rozsahu. Situace, které nejsou Směrnicí upraveny, řeší bezpečnostní pracovníci </w:t>
      </w:r>
      <w:r w:rsidR="00185FCE">
        <w:t> ve s</w:t>
      </w:r>
      <w:r w:rsidR="00954B43">
        <w:t>myslu</w:t>
      </w:r>
      <w:r>
        <w:t xml:space="preserve"> níže popsaných ustanovení. </w:t>
      </w:r>
    </w:p>
    <w:p w14:paraId="1A1F6BF9" w14:textId="77777777" w:rsidR="005B2020" w:rsidRDefault="001A0BB2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427DF85D" w14:textId="77777777" w:rsidR="005B2020" w:rsidRDefault="001A0BB2">
      <w:pPr>
        <w:spacing w:after="146" w:line="259" w:lineRule="auto"/>
        <w:ind w:right="101"/>
        <w:jc w:val="center"/>
      </w:pPr>
      <w:r>
        <w:rPr>
          <w:sz w:val="32"/>
        </w:rPr>
        <w:t xml:space="preserve"> H L A V A   II. </w:t>
      </w:r>
    </w:p>
    <w:p w14:paraId="75ADD782" w14:textId="77777777" w:rsidR="005B2020" w:rsidRDefault="001A0BB2">
      <w:pPr>
        <w:spacing w:after="120" w:line="259" w:lineRule="auto"/>
        <w:ind w:right="97"/>
        <w:jc w:val="center"/>
      </w:pPr>
      <w:r>
        <w:rPr>
          <w:sz w:val="32"/>
        </w:rPr>
        <w:t xml:space="preserve"> Základní ustanovení </w:t>
      </w:r>
    </w:p>
    <w:p w14:paraId="29317A42" w14:textId="77777777" w:rsidR="005B2020" w:rsidRDefault="001A0BB2">
      <w:pPr>
        <w:spacing w:after="222" w:line="259" w:lineRule="auto"/>
        <w:ind w:right="97"/>
        <w:jc w:val="center"/>
      </w:pPr>
      <w:r>
        <w:t xml:space="preserve"> čl. 1 </w:t>
      </w:r>
    </w:p>
    <w:p w14:paraId="6A2BFC55" w14:textId="77777777" w:rsidR="005B2020" w:rsidRDefault="001A0BB2">
      <w:pPr>
        <w:pStyle w:val="Nadpis1"/>
      </w:pPr>
      <w:r>
        <w:rPr>
          <w:b w:val="0"/>
        </w:rPr>
        <w:t xml:space="preserve"> </w:t>
      </w:r>
      <w:r>
        <w:t xml:space="preserve">Vymezení pojmů </w:t>
      </w:r>
    </w:p>
    <w:p w14:paraId="347C3839" w14:textId="4B9429C0" w:rsidR="005B2020" w:rsidRDefault="001A0BB2">
      <w:pPr>
        <w:numPr>
          <w:ilvl w:val="0"/>
          <w:numId w:val="1"/>
        </w:numPr>
        <w:ind w:right="86" w:hanging="360"/>
      </w:pPr>
      <w:r>
        <w:rPr>
          <w:b/>
        </w:rPr>
        <w:t xml:space="preserve">Objektem </w:t>
      </w:r>
      <w:r>
        <w:t xml:space="preserve">je budova </w:t>
      </w:r>
      <w:r w:rsidR="006A017B">
        <w:t>nachá</w:t>
      </w:r>
      <w:r>
        <w:t xml:space="preserve">zející se na </w:t>
      </w:r>
      <w:r w:rsidR="00954B43">
        <w:t xml:space="preserve">výše </w:t>
      </w:r>
      <w:r>
        <w:t xml:space="preserve">uvedené adrese.  </w:t>
      </w:r>
    </w:p>
    <w:p w14:paraId="1C85B967" w14:textId="4E91AC41" w:rsidR="005B2020" w:rsidRDefault="001A0BB2">
      <w:pPr>
        <w:numPr>
          <w:ilvl w:val="0"/>
          <w:numId w:val="1"/>
        </w:numPr>
        <w:ind w:right="86" w:hanging="360"/>
      </w:pPr>
      <w:r>
        <w:rPr>
          <w:b/>
        </w:rPr>
        <w:t xml:space="preserve">Mimořádná událost (MU) </w:t>
      </w:r>
      <w:r>
        <w:t xml:space="preserve">je jakýkoliv jev, jehož podstatou je ohrožení života, zdraví, osob v </w:t>
      </w:r>
      <w:r w:rsidR="00954B43">
        <w:t>O</w:t>
      </w:r>
      <w:r>
        <w:t xml:space="preserve">bjektu, ohrožení majetku zadavatele služby.  </w:t>
      </w:r>
    </w:p>
    <w:p w14:paraId="51265DF6" w14:textId="3DF83DF3" w:rsidR="005B2020" w:rsidRDefault="001A0BB2">
      <w:pPr>
        <w:numPr>
          <w:ilvl w:val="0"/>
          <w:numId w:val="1"/>
        </w:numPr>
        <w:ind w:right="86" w:hanging="360"/>
      </w:pPr>
      <w:r>
        <w:rPr>
          <w:b/>
        </w:rPr>
        <w:t>Oprávněná osoba</w:t>
      </w:r>
      <w:r>
        <w:t xml:space="preserve"> je ta, která má oprávnění od </w:t>
      </w:r>
      <w:r w:rsidR="008377CE">
        <w:t xml:space="preserve">statutárního orgánu </w:t>
      </w:r>
      <w:r>
        <w:t xml:space="preserve">Muzea hl. m. Prahy schvalovat a upravovat </w:t>
      </w:r>
      <w:r w:rsidR="00954B43">
        <w:t>S</w:t>
      </w:r>
      <w:r>
        <w:t>měrnic</w:t>
      </w:r>
      <w:r w:rsidR="00954B43">
        <w:t>i</w:t>
      </w:r>
      <w:r>
        <w:t xml:space="preserve"> pro výkon služby, kontrolovat výkon služby a vydávat organizační pokyny a povolení týkající se povinností bezpečnostních pracovníků střeženého </w:t>
      </w:r>
      <w:r w:rsidR="00954B43">
        <w:t>O</w:t>
      </w:r>
      <w:r>
        <w:t xml:space="preserve">bjektu.  </w:t>
      </w:r>
    </w:p>
    <w:p w14:paraId="47EF9363" w14:textId="1A8E45BA" w:rsidR="005B2020" w:rsidRDefault="001A0BB2">
      <w:pPr>
        <w:numPr>
          <w:ilvl w:val="0"/>
          <w:numId w:val="1"/>
        </w:numPr>
        <w:ind w:right="86" w:hanging="360"/>
      </w:pPr>
      <w:r>
        <w:rPr>
          <w:b/>
        </w:rPr>
        <w:t xml:space="preserve">Povolaná osoba </w:t>
      </w:r>
      <w:r>
        <w:t xml:space="preserve">je ta, která má do </w:t>
      </w:r>
      <w:r w:rsidR="008377CE">
        <w:t>O</w:t>
      </w:r>
      <w:r>
        <w:t xml:space="preserve">bjektu (ve stanoveném čase) povolen vstup a je na seznamu povolaných osob, jsou to zejména zaměstnanci </w:t>
      </w:r>
      <w:r w:rsidR="008577F4">
        <w:t>Muzea hl. m. Prahy</w:t>
      </w:r>
      <w:r>
        <w:t xml:space="preserve"> a externí pracovníci </w:t>
      </w:r>
      <w:r w:rsidR="008577F4">
        <w:t>Muzea hl. m. Prahy</w:t>
      </w:r>
      <w:r w:rsidR="008577F4" w:rsidDel="008577F4">
        <w:t xml:space="preserve"> </w:t>
      </w:r>
      <w:r>
        <w:t xml:space="preserve">, osoby servisních firem a smluvně </w:t>
      </w:r>
      <w:r>
        <w:lastRenderedPageBreak/>
        <w:t>spolupracujících firem, které provádí servis zařízení</w:t>
      </w:r>
      <w:r w:rsidR="008577F4">
        <w:t xml:space="preserve"> nacházejících se v Objektu</w:t>
      </w:r>
      <w:r>
        <w:t xml:space="preserve"> a </w:t>
      </w:r>
      <w:r w:rsidR="008577F4">
        <w:t xml:space="preserve">jejich </w:t>
      </w:r>
      <w:r>
        <w:t xml:space="preserve">údržbu. Zaměstnanci partnerských smluvních firem jsou předem ohlášeni a v doprovodu zaměstnance </w:t>
      </w:r>
      <w:r w:rsidR="008577F4">
        <w:t>Muzea hl. m. Prahy</w:t>
      </w:r>
      <w:r>
        <w:t>, v případě havárie nebo jiného nouzového stavu se</w:t>
      </w:r>
      <w:r w:rsidR="008577F4">
        <w:t xml:space="preserve"> tyto osoby</w:t>
      </w:r>
      <w:r>
        <w:t xml:space="preserve"> mohou dostavit neohlášeně. Musí však ostraze prokázat příslušnost k firmě, udat důvod návštěvy a jejich vstup je registrován ostrahou, která o nouzové situaci vyrozumí vedoucí zaměstnance </w:t>
      </w:r>
      <w:r w:rsidR="008577F4">
        <w:t>O</w:t>
      </w:r>
      <w:r>
        <w:t xml:space="preserve">bjektu.  </w:t>
      </w:r>
    </w:p>
    <w:p w14:paraId="4CF621D1" w14:textId="735E29E8" w:rsidR="005B2020" w:rsidRDefault="001A0BB2">
      <w:pPr>
        <w:numPr>
          <w:ilvl w:val="0"/>
          <w:numId w:val="1"/>
        </w:numPr>
        <w:ind w:right="86" w:hanging="360"/>
      </w:pPr>
      <w:r>
        <w:rPr>
          <w:b/>
        </w:rPr>
        <w:t xml:space="preserve">Návštěvník </w:t>
      </w:r>
      <w:r>
        <w:t>je osoba, která j</w:t>
      </w:r>
      <w:r w:rsidR="006A017B">
        <w:t>d</w:t>
      </w:r>
      <w:r>
        <w:t xml:space="preserve">e </w:t>
      </w:r>
      <w:r w:rsidR="008577F4">
        <w:t>do Objektu</w:t>
      </w:r>
      <w:r w:rsidR="006A017B">
        <w:t xml:space="preserve"> ve služebních záležitostech nebo je členem</w:t>
      </w:r>
      <w:r>
        <w:t xml:space="preserve"> skupiny, která přišla na prohlídku </w:t>
      </w:r>
      <w:r w:rsidR="008577F4">
        <w:t>O</w:t>
      </w:r>
      <w:r>
        <w:t>bjektu</w:t>
      </w:r>
      <w:r w:rsidR="006A017B">
        <w:t xml:space="preserve"> v den otevřených dveří nebo</w:t>
      </w:r>
      <w:r w:rsidR="008577F4">
        <w:t xml:space="preserve"> při příležitosti</w:t>
      </w:r>
      <w:r w:rsidR="006A017B">
        <w:t xml:space="preserve"> jiných akcí </w:t>
      </w:r>
      <w:r w:rsidR="008577F4">
        <w:t>Muzea hl. m. Prahy</w:t>
      </w:r>
      <w:r>
        <w:t xml:space="preserve">. S touto skupinou (osobou) musí být povolaná osoba (zaměstnanec) z Muzea hl. m. Prahy nebo jiná osoba určená vedoucími zaměstnanci </w:t>
      </w:r>
      <w:r w:rsidR="008577F4">
        <w:t>O</w:t>
      </w:r>
      <w:r>
        <w:t xml:space="preserve">bjektu. </w:t>
      </w:r>
    </w:p>
    <w:p w14:paraId="197C3B80" w14:textId="2E80AA2A" w:rsidR="005B2020" w:rsidRDefault="001A0BB2">
      <w:pPr>
        <w:numPr>
          <w:ilvl w:val="0"/>
          <w:numId w:val="1"/>
        </w:numPr>
        <w:ind w:right="86" w:hanging="360"/>
      </w:pPr>
      <w:r>
        <w:rPr>
          <w:b/>
        </w:rPr>
        <w:t xml:space="preserve">Nepovolaná osoba </w:t>
      </w:r>
      <w:r>
        <w:t xml:space="preserve">je ta, která se dožaduje vstupu do </w:t>
      </w:r>
      <w:r w:rsidR="008577F4">
        <w:t>O</w:t>
      </w:r>
      <w:r>
        <w:t>bjektu mimo pracovní dobu, není osobou ohlášenou, není zaměstnancem partnerské servisní firmy a důvody jejího vstupu jsou nejasné a podezřelé,</w:t>
      </w:r>
      <w:r w:rsidR="008577F4">
        <w:t xml:space="preserve"> </w:t>
      </w:r>
      <w:proofErr w:type="gramStart"/>
      <w:r w:rsidR="008577F4">
        <w:t>a nebo</w:t>
      </w:r>
      <w:proofErr w:type="gramEnd"/>
      <w:r w:rsidR="008577F4">
        <w:t xml:space="preserve"> se</w:t>
      </w:r>
      <w:r>
        <w:t xml:space="preserve"> zdržuje v </w:t>
      </w:r>
      <w:r w:rsidR="008577F4">
        <w:t>O</w:t>
      </w:r>
      <w:r>
        <w:t xml:space="preserve">bjektu po pracovní době bez povolení. </w:t>
      </w:r>
    </w:p>
    <w:p w14:paraId="4E03588B" w14:textId="21FE6037" w:rsidR="005B2020" w:rsidRDefault="001A0BB2">
      <w:pPr>
        <w:numPr>
          <w:ilvl w:val="0"/>
          <w:numId w:val="1"/>
        </w:numPr>
        <w:ind w:right="86" w:hanging="360"/>
      </w:pPr>
      <w:r>
        <w:rPr>
          <w:b/>
        </w:rPr>
        <w:t xml:space="preserve">Podezřelá osoba </w:t>
      </w:r>
      <w:r>
        <w:t xml:space="preserve">je ta, která se zdržuje </w:t>
      </w:r>
      <w:r w:rsidR="008577F4">
        <w:t>u přístupů do</w:t>
      </w:r>
      <w:r>
        <w:t xml:space="preserve"> </w:t>
      </w:r>
      <w:r w:rsidR="008577F4">
        <w:t>O</w:t>
      </w:r>
      <w:r>
        <w:t xml:space="preserve">bjektu, zkoumá jej, chystá se do něj proniknout, zjevně vyhledává prostory jinak cizími osobami nenavštěvované. </w:t>
      </w:r>
    </w:p>
    <w:p w14:paraId="7168AB6D" w14:textId="2DFC05F1" w:rsidR="005B2020" w:rsidRDefault="001A0BB2">
      <w:pPr>
        <w:numPr>
          <w:ilvl w:val="0"/>
          <w:numId w:val="1"/>
        </w:numPr>
        <w:spacing w:after="91"/>
        <w:ind w:right="86" w:hanging="360"/>
      </w:pPr>
      <w:r>
        <w:rPr>
          <w:b/>
        </w:rPr>
        <w:t xml:space="preserve">Provinilá osoba </w:t>
      </w:r>
      <w:r>
        <w:t xml:space="preserve">je ta, která neoprávněně pronikla do </w:t>
      </w:r>
      <w:r w:rsidR="008577F4">
        <w:t>O</w:t>
      </w:r>
      <w:r>
        <w:t xml:space="preserve">bjektu, napadá povolané osoby nebo návštěvníky, bezpečnostní pracovníky, ničí, zcizuje majetek </w:t>
      </w:r>
      <w:r w:rsidR="008577F4">
        <w:t>O</w:t>
      </w:r>
      <w:r>
        <w:t xml:space="preserve">bjektu, páchá v něm trestnou činnost. Její jednání nese znaky skutkové podstaty trestného činu. </w:t>
      </w:r>
    </w:p>
    <w:p w14:paraId="57857A1E" w14:textId="77777777" w:rsidR="005B2020" w:rsidRDefault="001A0BB2">
      <w:pPr>
        <w:spacing w:after="172" w:line="259" w:lineRule="auto"/>
        <w:ind w:left="60" w:right="0" w:firstLine="0"/>
        <w:jc w:val="left"/>
      </w:pPr>
      <w:r>
        <w:t xml:space="preserve"> </w:t>
      </w:r>
    </w:p>
    <w:p w14:paraId="36AAC51D" w14:textId="77777777" w:rsidR="005B2020" w:rsidRDefault="001A0BB2">
      <w:pPr>
        <w:spacing w:after="120" w:line="259" w:lineRule="auto"/>
        <w:ind w:right="99"/>
        <w:jc w:val="center"/>
      </w:pPr>
      <w:r>
        <w:rPr>
          <w:sz w:val="32"/>
        </w:rPr>
        <w:t xml:space="preserve"> H L A V A   III. </w:t>
      </w:r>
    </w:p>
    <w:p w14:paraId="5058B8CF" w14:textId="77777777" w:rsidR="005B2020" w:rsidRDefault="001A0BB2">
      <w:pPr>
        <w:spacing w:after="120" w:line="259" w:lineRule="auto"/>
        <w:ind w:right="98"/>
        <w:jc w:val="center"/>
      </w:pPr>
      <w:r>
        <w:rPr>
          <w:sz w:val="32"/>
        </w:rPr>
        <w:t xml:space="preserve"> Organizace výkonu služby </w:t>
      </w:r>
    </w:p>
    <w:p w14:paraId="76B6BDC7" w14:textId="77777777" w:rsidR="005B2020" w:rsidRDefault="001A0BB2">
      <w:pPr>
        <w:spacing w:after="222" w:line="259" w:lineRule="auto"/>
        <w:ind w:right="97"/>
        <w:jc w:val="center"/>
      </w:pPr>
      <w:r>
        <w:t xml:space="preserve"> čl. 1 </w:t>
      </w:r>
    </w:p>
    <w:p w14:paraId="5B9B80AA" w14:textId="77777777" w:rsidR="005B2020" w:rsidRDefault="001A0BB2">
      <w:pPr>
        <w:pStyle w:val="Nadpis1"/>
      </w:pPr>
      <w:r>
        <w:rPr>
          <w:b w:val="0"/>
        </w:rPr>
        <w:t xml:space="preserve"> </w:t>
      </w:r>
      <w:r>
        <w:t xml:space="preserve">Základní povinnosti </w:t>
      </w:r>
    </w:p>
    <w:p w14:paraId="77A3DFE2" w14:textId="604A4AD1" w:rsidR="005B2020" w:rsidRDefault="001A0BB2">
      <w:pPr>
        <w:numPr>
          <w:ilvl w:val="0"/>
          <w:numId w:val="2"/>
        </w:numPr>
        <w:ind w:right="86" w:hanging="506"/>
      </w:pPr>
      <w:r w:rsidRPr="00917E5B">
        <w:rPr>
          <w:color w:val="auto"/>
        </w:rPr>
        <w:t xml:space="preserve">Bezpečnostní pracovníci (dále jen </w:t>
      </w:r>
      <w:r w:rsidR="00561E1D">
        <w:rPr>
          <w:color w:val="auto"/>
        </w:rPr>
        <w:t>„</w:t>
      </w:r>
      <w:r w:rsidRPr="00917E5B">
        <w:rPr>
          <w:color w:val="auto"/>
        </w:rPr>
        <w:t>BP</w:t>
      </w:r>
      <w:r w:rsidR="00561E1D">
        <w:rPr>
          <w:color w:val="auto"/>
        </w:rPr>
        <w:t>“</w:t>
      </w:r>
      <w:r w:rsidRPr="00917E5B">
        <w:rPr>
          <w:color w:val="auto"/>
        </w:rPr>
        <w:t>) vykonávají službu v</w:t>
      </w:r>
      <w:r w:rsidR="00917E5B" w:rsidRPr="00917E5B">
        <w:rPr>
          <w:color w:val="auto"/>
        </w:rPr>
        <w:t>e</w:t>
      </w:r>
      <w:r w:rsidRPr="00917E5B">
        <w:rPr>
          <w:color w:val="auto"/>
        </w:rPr>
        <w:t xml:space="preserve"> společenském obleku </w:t>
      </w:r>
      <w:r>
        <w:t xml:space="preserve">(sako, kalhoty) s jasně viditelným logem bezpečnostní agentury (dále jen </w:t>
      </w:r>
      <w:r w:rsidR="00561E1D">
        <w:t>„</w:t>
      </w:r>
      <w:r>
        <w:t>BA</w:t>
      </w:r>
      <w:r w:rsidR="00561E1D">
        <w:t>“</w:t>
      </w:r>
      <w:r>
        <w:t xml:space="preserve">), s předepsanou výzbrojí a výstrojí. Součástí stejnokroje – společenského obleku – je jednobarevná košile (též s logem BA) a průkaz příslušníka BA. Stejnokroj musí být čistý a řádně udržovaný.  </w:t>
      </w:r>
    </w:p>
    <w:p w14:paraId="64D0D10B" w14:textId="3217F547" w:rsidR="005B2020" w:rsidRDefault="001A0BB2">
      <w:pPr>
        <w:numPr>
          <w:ilvl w:val="0"/>
          <w:numId w:val="2"/>
        </w:numPr>
        <w:ind w:right="86" w:hanging="506"/>
      </w:pPr>
      <w:r>
        <w:t xml:space="preserve">BP má povinnost si před nástupem služby na </w:t>
      </w:r>
      <w:r w:rsidR="00561E1D">
        <w:t>O</w:t>
      </w:r>
      <w:r>
        <w:t xml:space="preserve">bjekt, ve kterém ještě nevykonával službu, prostudovat směrnice pro výkon služby a poté na poslední straně zaznamenat do tabulky „seznámen“ datum seznámení, svoje jméno a podpis. V </w:t>
      </w:r>
      <w:r>
        <w:lastRenderedPageBreak/>
        <w:t xml:space="preserve">případě, že na tomto </w:t>
      </w:r>
      <w:r w:rsidR="00561E1D">
        <w:t>O</w:t>
      </w:r>
      <w:r>
        <w:t xml:space="preserve">bjektu již sloužil, je povinen se seznámit pouze s vedenou služební dokumentací, zejména se zápisy v Knize služeb. Tyto úkony jsou neopomenutelné a jsou nedílnou součástí přípravy k výkonu služby. Při nástupu do služby je BP povinen provést kontrolní obchůzku po střeženém </w:t>
      </w:r>
      <w:r w:rsidR="00561E1D">
        <w:t>O</w:t>
      </w:r>
      <w:r>
        <w:t xml:space="preserve">bjektu, provést kontrolu inventáře na pracovišti ostrahy a seznámit se s průběhem předcházející služby.  </w:t>
      </w:r>
    </w:p>
    <w:p w14:paraId="39F07B39" w14:textId="5C29745E" w:rsidR="005B2020" w:rsidRDefault="001A0BB2">
      <w:pPr>
        <w:numPr>
          <w:ilvl w:val="0"/>
          <w:numId w:val="2"/>
        </w:numPr>
        <w:ind w:right="86" w:hanging="506"/>
      </w:pPr>
      <w:r>
        <w:t xml:space="preserve">Před nástupem a v průběhu služby je bezpečnostním pracovníkům zakázáno požívat alkoholické nápoje či jiné látky snižující jejich schopnost jednání. Jsou povinni do služby nastoupit řádně upravení, odpočatí a zdraví. V průběhu služby je jim zakázáno věnovat se činnostem rozptylujícím jejich pozornost. Do </w:t>
      </w:r>
      <w:r w:rsidR="00561E1D">
        <w:t>O</w:t>
      </w:r>
      <w:r>
        <w:t xml:space="preserve">bjektu nesmí zvát soukromé návštěvy. BP nesmí v místě ostrahy používat soukromé el. přístroje (vařič, lampičku, přímotopy apod.). </w:t>
      </w:r>
    </w:p>
    <w:p w14:paraId="59B40695" w14:textId="6EBD7D92" w:rsidR="005B2020" w:rsidRDefault="001A0BB2">
      <w:pPr>
        <w:numPr>
          <w:ilvl w:val="0"/>
          <w:numId w:val="2"/>
        </w:numPr>
        <w:ind w:right="86" w:hanging="506"/>
      </w:pPr>
      <w:r>
        <w:t>BP jsou povinni zachovávat mlčenlivost o všech skutečnostech (zájmech), o nichž se dozví při výkonu služby, včetně obsluhy a fungování EZS</w:t>
      </w:r>
      <w:r w:rsidR="00AB596A">
        <w:t xml:space="preserve"> AJAX</w:t>
      </w:r>
      <w:r>
        <w:t xml:space="preserve">, EPS a dalších bezpečnostních systémů. </w:t>
      </w:r>
    </w:p>
    <w:p w14:paraId="6A6D69E7" w14:textId="39CA22F4" w:rsidR="005B2020" w:rsidRDefault="001A0BB2">
      <w:pPr>
        <w:numPr>
          <w:ilvl w:val="0"/>
          <w:numId w:val="2"/>
        </w:numPr>
        <w:ind w:right="86" w:hanging="506"/>
      </w:pPr>
      <w:r>
        <w:t xml:space="preserve">Nástup, ukončení služby, vznik mimořádné události BP telefonicky hlásí pracovníkovi stálé služby BA </w:t>
      </w:r>
      <w:r w:rsidR="00C7782A">
        <w:t xml:space="preserve">- </w:t>
      </w:r>
      <w:r>
        <w:t xml:space="preserve">tel. </w:t>
      </w:r>
      <w:r w:rsidR="00C7782A">
        <w:t xml:space="preserve">731 439 471 </w:t>
      </w:r>
      <w:r>
        <w:t xml:space="preserve">   </w:t>
      </w:r>
    </w:p>
    <w:p w14:paraId="0284B2B7" w14:textId="3D62103E" w:rsidR="005B2020" w:rsidRDefault="001A0BB2">
      <w:pPr>
        <w:numPr>
          <w:ilvl w:val="0"/>
          <w:numId w:val="2"/>
        </w:numPr>
        <w:ind w:right="86" w:hanging="506"/>
      </w:pPr>
      <w:r>
        <w:t>BP musí umět obsluhovat EZS</w:t>
      </w:r>
      <w:r w:rsidR="00AB596A">
        <w:t xml:space="preserve"> AJAX</w:t>
      </w:r>
      <w:r>
        <w:t xml:space="preserve">, EPS systém podle předaných návodů, znát dokumentaci požární ochrany </w:t>
      </w:r>
      <w:r w:rsidR="00E74842">
        <w:t>O</w:t>
      </w:r>
      <w:r>
        <w:t xml:space="preserve">bjektu a plnit povinnosti ohlašovny požárů. Znát umístění uzávěru vody, plynu a elektrické energie. </w:t>
      </w:r>
    </w:p>
    <w:p w14:paraId="466C3210" w14:textId="77777777" w:rsidR="00917E5B" w:rsidRDefault="001A0BB2">
      <w:pPr>
        <w:numPr>
          <w:ilvl w:val="0"/>
          <w:numId w:val="2"/>
        </w:numPr>
        <w:ind w:right="86" w:hanging="506"/>
      </w:pPr>
      <w:r>
        <w:t>Telefonní přístroje smí BP používat zásadně jen ke služebním hovorům (ve standardních situacích 2x za den) a o provedených hovorech jsou BP povinni provést zápis. V případě použití tel. přístroje ve výjimečném případě z jiných důvodů musí BP uvést volané číslo a důvod. V případě uskutečněných soukromých hovorů uhradí tyto BP Muzeu hl. m. Prahy.</w:t>
      </w:r>
    </w:p>
    <w:p w14:paraId="37C8CA42" w14:textId="7615E90C" w:rsidR="005B2020" w:rsidRDefault="001A0BB2">
      <w:pPr>
        <w:numPr>
          <w:ilvl w:val="0"/>
          <w:numId w:val="2"/>
        </w:numPr>
        <w:ind w:right="86" w:hanging="506"/>
      </w:pPr>
      <w:r>
        <w:t>Do místnosti ostrahy je tel.:</w:t>
      </w:r>
      <w:r w:rsidR="00C7782A">
        <w:t xml:space="preserve"> </w:t>
      </w:r>
      <w:r w:rsidR="002E30F8">
        <w:t xml:space="preserve">736 504 </w:t>
      </w:r>
      <w:r w:rsidR="009048F6">
        <w:t>479</w:t>
      </w:r>
      <w:r w:rsidR="00C7782A">
        <w:t xml:space="preserve"> </w:t>
      </w:r>
    </w:p>
    <w:p w14:paraId="2D040D2A" w14:textId="419A58FC" w:rsidR="005B2020" w:rsidRDefault="001A0BB2">
      <w:pPr>
        <w:numPr>
          <w:ilvl w:val="0"/>
          <w:numId w:val="2"/>
        </w:numPr>
        <w:ind w:right="86" w:hanging="506"/>
      </w:pPr>
      <w:r>
        <w:t xml:space="preserve">BP je povinen mít svěřené klíče od </w:t>
      </w:r>
      <w:r w:rsidR="000E0D32">
        <w:t>O</w:t>
      </w:r>
      <w:r>
        <w:t xml:space="preserve">bjektu, nutné pro výkon služby, trvale u sebe, nikomu je nepůjčovat. </w:t>
      </w:r>
    </w:p>
    <w:p w14:paraId="53788E3C" w14:textId="77777777" w:rsidR="001B29F5" w:rsidRPr="001B29F5" w:rsidRDefault="001A0BB2">
      <w:pPr>
        <w:numPr>
          <w:ilvl w:val="0"/>
          <w:numId w:val="2"/>
        </w:numPr>
        <w:spacing w:after="39" w:line="416" w:lineRule="auto"/>
        <w:ind w:right="86" w:hanging="506"/>
      </w:pPr>
      <w:r>
        <w:t>BP musí znát osoby oprávněné ze strany Muzea hl. m. Prahy kontrolovat výkon služby a vydávat organizační pokyny a povolení:</w:t>
      </w:r>
      <w:r>
        <w:rPr>
          <w:b/>
        </w:rPr>
        <w:t xml:space="preserve"> </w:t>
      </w:r>
    </w:p>
    <w:tbl>
      <w:tblPr>
        <w:tblStyle w:val="TableGrid"/>
        <w:tblW w:w="6992" w:type="dxa"/>
        <w:tblInd w:w="343" w:type="dxa"/>
        <w:tblLook w:val="04A0" w:firstRow="1" w:lastRow="0" w:firstColumn="1" w:lastColumn="0" w:noHBand="0" w:noVBand="1"/>
      </w:tblPr>
      <w:tblGrid>
        <w:gridCol w:w="4698"/>
        <w:gridCol w:w="2294"/>
      </w:tblGrid>
      <w:tr w:rsidR="001B29F5" w14:paraId="3B26A2B5" w14:textId="77777777" w:rsidTr="00446E4F">
        <w:trPr>
          <w:trHeight w:val="374"/>
        </w:trPr>
        <w:tc>
          <w:tcPr>
            <w:tcW w:w="4698" w:type="dxa"/>
          </w:tcPr>
          <w:p w14:paraId="4CFD2088" w14:textId="59549D7A" w:rsidR="001B29F5" w:rsidRDefault="001B29F5" w:rsidP="00446E4F">
            <w:pPr>
              <w:spacing w:after="0" w:line="259" w:lineRule="auto"/>
              <w:ind w:right="0"/>
              <w:jc w:val="left"/>
            </w:pPr>
            <w:r>
              <w:t xml:space="preserve">vedoucí oddělení bezpečnosti </w:t>
            </w:r>
            <w:r w:rsidR="005655CE">
              <w:t>Muzea hl. m. Prahy</w:t>
            </w:r>
            <w:r>
              <w:t>:</w:t>
            </w:r>
          </w:p>
          <w:p w14:paraId="25D5D7E0" w14:textId="634C7AF0" w:rsidR="001B29F5" w:rsidRDefault="001B29F5" w:rsidP="00446E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94" w:type="dxa"/>
          </w:tcPr>
          <w:p w14:paraId="17C77762" w14:textId="77777777" w:rsidR="001B29F5" w:rsidRDefault="001B29F5" w:rsidP="00446E4F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</w:p>
          <w:p w14:paraId="761FDCFF" w14:textId="77777777" w:rsidR="005655CE" w:rsidRDefault="005655CE" w:rsidP="00446E4F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</w:p>
          <w:p w14:paraId="5A3B9742" w14:textId="30DEB355" w:rsidR="001B29F5" w:rsidRDefault="001B29F5" w:rsidP="00446E4F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r>
              <w:t>mobil:</w:t>
            </w:r>
            <w:r>
              <w:tab/>
              <w:t xml:space="preserve">  </w:t>
            </w:r>
          </w:p>
        </w:tc>
      </w:tr>
      <w:tr w:rsidR="001B29F5" w14:paraId="18EDDA73" w14:textId="77777777" w:rsidTr="00446E4F">
        <w:tblPrEx>
          <w:tblCellMar>
            <w:top w:w="41" w:type="dxa"/>
          </w:tblCellMar>
        </w:tblPrEx>
        <w:trPr>
          <w:trHeight w:val="37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43CCA87" w14:textId="77777777" w:rsidR="001B29F5" w:rsidRDefault="001B29F5" w:rsidP="00446E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B326F8A" w14:textId="77777777" w:rsidR="001B29F5" w:rsidRDefault="001B29F5" w:rsidP="00446E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B29F5" w14:paraId="32DE1F24" w14:textId="77777777" w:rsidTr="00446E4F">
        <w:tblPrEx>
          <w:tblCellMar>
            <w:top w:w="41" w:type="dxa"/>
          </w:tblCellMar>
        </w:tblPrEx>
        <w:trPr>
          <w:trHeight w:val="48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3508" w14:textId="2387D4A7" w:rsidR="001B29F5" w:rsidRDefault="001B29F5" w:rsidP="00446E4F">
            <w:pPr>
              <w:tabs>
                <w:tab w:val="center" w:pos="3257"/>
                <w:tab w:val="center" w:pos="3977"/>
              </w:tabs>
              <w:spacing w:after="0" w:line="259" w:lineRule="auto"/>
              <w:ind w:left="0" w:right="0" w:firstLine="0"/>
              <w:jc w:val="left"/>
            </w:pPr>
            <w:r>
              <w:t xml:space="preserve">vedoucí </w:t>
            </w:r>
            <w:r w:rsidR="00917E5B">
              <w:t>sekretariátu</w:t>
            </w:r>
            <w:r>
              <w:t xml:space="preserve"> </w:t>
            </w:r>
          </w:p>
          <w:p w14:paraId="3C196A25" w14:textId="081536A9" w:rsidR="001B29F5" w:rsidRDefault="001B29F5" w:rsidP="00446E4F">
            <w:pPr>
              <w:tabs>
                <w:tab w:val="center" w:pos="3257"/>
                <w:tab w:val="center" w:pos="3977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DD83" w14:textId="77777777" w:rsidR="005655CE" w:rsidRDefault="005655CE" w:rsidP="00446E4F">
            <w:pPr>
              <w:spacing w:after="0" w:line="259" w:lineRule="auto"/>
              <w:ind w:left="0" w:right="0" w:firstLine="0"/>
              <w:jc w:val="left"/>
            </w:pPr>
          </w:p>
          <w:p w14:paraId="3609D932" w14:textId="6A9297B9" w:rsidR="001B29F5" w:rsidRDefault="001B29F5" w:rsidP="00446E4F">
            <w:pPr>
              <w:spacing w:after="0" w:line="259" w:lineRule="auto"/>
              <w:ind w:left="0" w:right="0" w:firstLine="0"/>
              <w:jc w:val="left"/>
            </w:pPr>
            <w:r>
              <w:t xml:space="preserve">mobil: </w:t>
            </w:r>
          </w:p>
        </w:tc>
      </w:tr>
    </w:tbl>
    <w:p w14:paraId="4A041825" w14:textId="145C62BF" w:rsidR="005B2020" w:rsidRDefault="001A0BB2">
      <w:pPr>
        <w:tabs>
          <w:tab w:val="center" w:pos="2735"/>
          <w:tab w:val="center" w:pos="5761"/>
        </w:tabs>
        <w:spacing w:after="0" w:line="259" w:lineRule="auto"/>
        <w:ind w:left="0" w:right="0" w:firstLine="0"/>
        <w:jc w:val="left"/>
      </w:pPr>
      <w:r>
        <w:lastRenderedPageBreak/>
        <w:t xml:space="preserve">  </w:t>
      </w:r>
    </w:p>
    <w:tbl>
      <w:tblPr>
        <w:tblStyle w:val="TableGrid"/>
        <w:tblW w:w="6992" w:type="dxa"/>
        <w:tblInd w:w="343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698"/>
        <w:gridCol w:w="2294"/>
      </w:tblGrid>
      <w:tr w:rsidR="001B29F5" w14:paraId="4927FABA" w14:textId="77777777" w:rsidTr="00446E4F">
        <w:trPr>
          <w:trHeight w:val="48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5380F" w14:textId="3E1E3221" w:rsidR="001B29F5" w:rsidRDefault="001B29F5" w:rsidP="00446E4F">
            <w:pPr>
              <w:tabs>
                <w:tab w:val="center" w:pos="2537"/>
                <w:tab w:val="center" w:pos="3257"/>
                <w:tab w:val="center" w:pos="3977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6E4B" w14:textId="7F7ECA27" w:rsidR="001B29F5" w:rsidRDefault="001B29F5" w:rsidP="00446E4F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</w:p>
        </w:tc>
      </w:tr>
      <w:tr w:rsidR="001B29F5" w14:paraId="3225122A" w14:textId="77777777" w:rsidTr="00446E4F">
        <w:trPr>
          <w:trHeight w:val="48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FCA8" w14:textId="77777777" w:rsidR="00710EFC" w:rsidRDefault="00710EFC" w:rsidP="00446E4F">
            <w:pPr>
              <w:spacing w:after="0" w:line="259" w:lineRule="auto"/>
              <w:ind w:left="0" w:right="0" w:firstLine="0"/>
              <w:jc w:val="left"/>
            </w:pPr>
          </w:p>
          <w:p w14:paraId="1DCA965A" w14:textId="2443227A" w:rsidR="001B29F5" w:rsidRDefault="001B29F5" w:rsidP="00446E4F">
            <w:pPr>
              <w:spacing w:after="0" w:line="259" w:lineRule="auto"/>
              <w:ind w:left="0" w:right="0" w:firstLine="0"/>
              <w:jc w:val="left"/>
            </w:pPr>
            <w:r>
              <w:t>náměst</w:t>
            </w:r>
            <w:r w:rsidR="00C84D76">
              <w:t>ek</w:t>
            </w:r>
            <w:r>
              <w:t xml:space="preserve"> úseku vnitřních činností </w:t>
            </w:r>
          </w:p>
          <w:p w14:paraId="6038CC65" w14:textId="77777777" w:rsidR="001B29F5" w:rsidRDefault="001B29F5" w:rsidP="000666F2">
            <w:pPr>
              <w:spacing w:after="0" w:line="259" w:lineRule="auto"/>
              <w:ind w:left="0" w:right="0" w:firstLine="0"/>
              <w:jc w:val="left"/>
            </w:pPr>
          </w:p>
          <w:p w14:paraId="3747EB5A" w14:textId="77777777" w:rsidR="000666F2" w:rsidRDefault="000666F2" w:rsidP="000666F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CC534" w14:textId="77777777" w:rsidR="005655CE" w:rsidRDefault="005655CE" w:rsidP="00446E4F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</w:p>
          <w:p w14:paraId="5D1CBA54" w14:textId="14D377DD" w:rsidR="001B29F5" w:rsidRDefault="001B29F5" w:rsidP="00446E4F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r>
              <w:t>mobil:</w:t>
            </w:r>
            <w:r>
              <w:tab/>
              <w:t xml:space="preserve">  </w:t>
            </w:r>
          </w:p>
        </w:tc>
      </w:tr>
      <w:tr w:rsidR="001B29F5" w14:paraId="27A47A2A" w14:textId="77777777" w:rsidTr="00446E4F">
        <w:trPr>
          <w:trHeight w:val="37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37C5" w14:textId="0E0AE9C0" w:rsidR="000E0D32" w:rsidRDefault="000E0D32" w:rsidP="00446E4F">
            <w:pPr>
              <w:tabs>
                <w:tab w:val="center" w:pos="1817"/>
                <w:tab w:val="center" w:pos="2537"/>
                <w:tab w:val="center" w:pos="3257"/>
                <w:tab w:val="center" w:pos="3977"/>
              </w:tabs>
              <w:spacing w:after="0" w:line="259" w:lineRule="auto"/>
              <w:ind w:left="0" w:right="0" w:firstLine="0"/>
              <w:jc w:val="left"/>
            </w:pPr>
            <w:r>
              <w:t>Ř</w:t>
            </w:r>
            <w:r w:rsidR="001B29F5">
              <w:t>editel</w:t>
            </w:r>
          </w:p>
          <w:p w14:paraId="5336B371" w14:textId="7E062FD4" w:rsidR="001B29F5" w:rsidRDefault="001B29F5" w:rsidP="00446E4F">
            <w:pPr>
              <w:tabs>
                <w:tab w:val="center" w:pos="1817"/>
                <w:tab w:val="center" w:pos="2537"/>
                <w:tab w:val="center" w:pos="3257"/>
                <w:tab w:val="center" w:pos="3977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DC40" w14:textId="0FAA2318" w:rsidR="001B29F5" w:rsidRDefault="001B29F5" w:rsidP="00446E4F">
            <w:pPr>
              <w:spacing w:after="0" w:line="259" w:lineRule="auto"/>
              <w:ind w:left="0" w:right="0" w:firstLine="0"/>
              <w:jc w:val="left"/>
            </w:pPr>
            <w:r>
              <w:t xml:space="preserve">mobil: </w:t>
            </w:r>
          </w:p>
        </w:tc>
      </w:tr>
    </w:tbl>
    <w:p w14:paraId="1A1F2959" w14:textId="77777777" w:rsidR="005B2020" w:rsidRDefault="001A0BB2">
      <w:pPr>
        <w:spacing w:after="147" w:line="259" w:lineRule="auto"/>
        <w:ind w:left="283" w:right="0" w:firstLine="0"/>
        <w:jc w:val="left"/>
      </w:pPr>
      <w:r>
        <w:t xml:space="preserve"> </w:t>
      </w:r>
      <w:r>
        <w:tab/>
        <w:t xml:space="preserve"> </w:t>
      </w:r>
    </w:p>
    <w:p w14:paraId="3881F002" w14:textId="5254546F" w:rsidR="005B2020" w:rsidRDefault="000E0D32" w:rsidP="005655CE">
      <w:pPr>
        <w:spacing w:after="205" w:line="274" w:lineRule="auto"/>
        <w:ind w:left="0" w:right="86" w:firstLine="0"/>
      </w:pPr>
      <w:r>
        <w:t>k</w:t>
      </w:r>
      <w:r w:rsidR="00703818">
        <w:t xml:space="preserve">) </w:t>
      </w:r>
      <w:r w:rsidR="001A0BB2">
        <w:t xml:space="preserve">BP musí znát osoby oprávněné ze strany vykonavatele služby kontrolovat výkon služby:   </w:t>
      </w:r>
    </w:p>
    <w:p w14:paraId="30288515" w14:textId="35BCDBBA" w:rsidR="001B29F5" w:rsidRDefault="001B29F5" w:rsidP="001B29F5">
      <w:pPr>
        <w:pStyle w:val="Odstavecseseznamem"/>
        <w:tabs>
          <w:tab w:val="center" w:pos="2019"/>
          <w:tab w:val="center" w:pos="4321"/>
          <w:tab w:val="center" w:pos="5595"/>
        </w:tabs>
        <w:spacing w:after="227" w:line="259" w:lineRule="auto"/>
        <w:ind w:left="506" w:right="0" w:firstLine="0"/>
        <w:jc w:val="left"/>
      </w:pPr>
      <w:r>
        <w:t>manažer objektu od BA:</w:t>
      </w:r>
      <w:r>
        <w:tab/>
        <w:t xml:space="preserve"> </w:t>
      </w:r>
      <w:r>
        <w:tab/>
      </w:r>
      <w:r w:rsidR="005655CE">
        <w:t>mobil:</w:t>
      </w:r>
      <w:r>
        <w:t xml:space="preserve"> </w:t>
      </w:r>
    </w:p>
    <w:p w14:paraId="2809316D" w14:textId="44F1129E" w:rsidR="00B81E33" w:rsidRDefault="001B29F5" w:rsidP="00B81E33">
      <w:pPr>
        <w:tabs>
          <w:tab w:val="center" w:pos="3266"/>
          <w:tab w:val="center" w:pos="7756"/>
        </w:tabs>
        <w:spacing w:after="231" w:line="259" w:lineRule="auto"/>
        <w:ind w:left="506" w:right="0" w:firstLine="0"/>
        <w:jc w:val="left"/>
      </w:pPr>
      <w:r>
        <w:t>provozní ředitel BA:</w:t>
      </w:r>
      <w:r w:rsidR="00710EFC">
        <w:t xml:space="preserve"> </w:t>
      </w:r>
      <w:r w:rsidR="000666F2">
        <w:tab/>
        <w:t xml:space="preserve">                                       </w:t>
      </w:r>
      <w:r w:rsidR="005655CE">
        <w:t>mobil:</w:t>
      </w:r>
      <w:r>
        <w:t xml:space="preserve"> </w:t>
      </w:r>
    </w:p>
    <w:p w14:paraId="7C3D4D39" w14:textId="77777777" w:rsidR="000666F2" w:rsidRDefault="000666F2" w:rsidP="00B81E33">
      <w:pPr>
        <w:tabs>
          <w:tab w:val="center" w:pos="3266"/>
          <w:tab w:val="center" w:pos="7756"/>
        </w:tabs>
        <w:spacing w:after="231" w:line="259" w:lineRule="auto"/>
        <w:ind w:left="506" w:right="0" w:firstLine="0"/>
        <w:jc w:val="left"/>
      </w:pPr>
    </w:p>
    <w:p w14:paraId="30AAA0F7" w14:textId="7F16EF38" w:rsidR="005B2020" w:rsidRPr="00B81E33" w:rsidRDefault="005655CE" w:rsidP="005655CE">
      <w:pPr>
        <w:pStyle w:val="Odstavecseseznamem"/>
        <w:tabs>
          <w:tab w:val="center" w:pos="3266"/>
          <w:tab w:val="center" w:pos="7756"/>
        </w:tabs>
        <w:spacing w:after="231" w:line="259" w:lineRule="auto"/>
        <w:ind w:left="0" w:right="0" w:firstLine="0"/>
      </w:pPr>
      <w:r>
        <w:t>l</w:t>
      </w:r>
      <w:r w:rsidR="00703818">
        <w:t xml:space="preserve">) </w:t>
      </w:r>
      <w:r w:rsidR="001A0BB2">
        <w:t xml:space="preserve">BP jsou povinni se plně soustředit na výkon služby, jednat rozhodně, vystupovat zdvořile a slušně. </w:t>
      </w:r>
    </w:p>
    <w:p w14:paraId="1CEDE479" w14:textId="4D0B5C27" w:rsidR="005B2020" w:rsidRDefault="005655CE" w:rsidP="004C3C54">
      <w:pPr>
        <w:spacing w:after="217" w:line="259" w:lineRule="auto"/>
        <w:ind w:left="0" w:right="86" w:firstLine="0"/>
      </w:pPr>
      <w:r>
        <w:t>m</w:t>
      </w:r>
      <w:r w:rsidR="00703818">
        <w:t xml:space="preserve">) </w:t>
      </w:r>
      <w:r w:rsidR="001A0BB2">
        <w:t>BP jsou povinni v</w:t>
      </w:r>
      <w:r>
        <w:t xml:space="preserve"> místnosti ostrahy </w:t>
      </w:r>
      <w:r w:rsidR="001A0BB2">
        <w:t xml:space="preserve">udržovat pořádek.   </w:t>
      </w:r>
    </w:p>
    <w:p w14:paraId="6D62A708" w14:textId="47DB2C18" w:rsidR="005B2020" w:rsidRDefault="005655CE" w:rsidP="004C3C54">
      <w:pPr>
        <w:ind w:left="0" w:right="86" w:firstLine="0"/>
      </w:pPr>
      <w:r>
        <w:t>n</w:t>
      </w:r>
      <w:r w:rsidR="00703818">
        <w:t xml:space="preserve">) </w:t>
      </w:r>
      <w:r w:rsidR="001A0BB2">
        <w:t xml:space="preserve">Pracovníci inspekční skupiny BA a vedoucí pracovníci BA mají oprávnění i povinnost kontrolovat výkon služby BP v kteroukoli denní i noční dobu. </w:t>
      </w:r>
    </w:p>
    <w:p w14:paraId="7CAEDD22" w14:textId="70ED5507" w:rsidR="005B2020" w:rsidRDefault="005655CE" w:rsidP="004C3C54">
      <w:pPr>
        <w:ind w:left="0" w:right="86" w:firstLine="0"/>
      </w:pPr>
      <w:r>
        <w:t>o</w:t>
      </w:r>
      <w:r w:rsidR="00703818">
        <w:t xml:space="preserve">) </w:t>
      </w:r>
      <w:r w:rsidR="001A0BB2">
        <w:t>BP podává hlášení o průběhu své služby a zjištěných závadách vedoucí</w:t>
      </w:r>
      <w:r w:rsidR="003708A2">
        <w:t>m</w:t>
      </w:r>
      <w:r w:rsidR="001A0BB2">
        <w:t xml:space="preserve"> zaměstnanců</w:t>
      </w:r>
      <w:r w:rsidR="003708A2">
        <w:t>m</w:t>
      </w:r>
      <w:r w:rsidR="001A0BB2">
        <w:t xml:space="preserve"> </w:t>
      </w:r>
      <w:r>
        <w:t>O</w:t>
      </w:r>
      <w:r w:rsidR="001A0BB2">
        <w:t>bjektu, ředitel</w:t>
      </w:r>
      <w:r w:rsidR="003708A2">
        <w:t>i</w:t>
      </w:r>
      <w:r w:rsidR="001A0BB2">
        <w:t xml:space="preserve"> </w:t>
      </w:r>
      <w:r w:rsidR="008E0CA2">
        <w:t>Muzea hl. m. Prahy</w:t>
      </w:r>
      <w:r w:rsidR="001A0BB2">
        <w:t>, náměstkyn</w:t>
      </w:r>
      <w:r w:rsidR="003708A2">
        <w:t>i</w:t>
      </w:r>
      <w:r w:rsidR="001A0BB2">
        <w:t xml:space="preserve"> úseku vnitřních činností </w:t>
      </w:r>
      <w:r w:rsidR="003708A2">
        <w:t>a</w:t>
      </w:r>
      <w:r w:rsidR="001A0BB2">
        <w:t xml:space="preserve">nebo </w:t>
      </w:r>
      <w:r w:rsidR="003708A2">
        <w:t xml:space="preserve">vedoucímu </w:t>
      </w:r>
      <w:r w:rsidR="001A0BB2">
        <w:t xml:space="preserve">oddělení bezpečnosti </w:t>
      </w:r>
      <w:r w:rsidR="008E0CA2">
        <w:t>Muzea hl. m. Prahy</w:t>
      </w:r>
      <w:r w:rsidR="003708A2">
        <w:t>, a to vždy při jejich příchodu</w:t>
      </w:r>
      <w:r w:rsidR="00A96E55">
        <w:t xml:space="preserve"> a vyžaduj</w:t>
      </w:r>
      <w:r w:rsidR="00CF40C3">
        <w:t>í</w:t>
      </w:r>
      <w:r w:rsidR="00A96E55">
        <w:t xml:space="preserve">-li to </w:t>
      </w:r>
      <w:r w:rsidR="00A26927">
        <w:t>okolnosti konané služby</w:t>
      </w:r>
      <w:r w:rsidR="00CF40C3">
        <w:t>.</w:t>
      </w:r>
      <w:r w:rsidR="001A0BB2">
        <w:t xml:space="preserve">. </w:t>
      </w:r>
    </w:p>
    <w:p w14:paraId="5B664BAC" w14:textId="02BF6F72" w:rsidR="005B2020" w:rsidRDefault="005655CE" w:rsidP="004C3C54">
      <w:pPr>
        <w:spacing w:after="91"/>
        <w:ind w:left="0" w:right="86" w:firstLine="0"/>
      </w:pPr>
      <w:r>
        <w:t>p</w:t>
      </w:r>
      <w:r w:rsidR="00703818">
        <w:t xml:space="preserve">) </w:t>
      </w:r>
      <w:r w:rsidR="001A0BB2">
        <w:t xml:space="preserve">BP </w:t>
      </w:r>
      <w:r w:rsidR="00917E5B">
        <w:t>v</w:t>
      </w:r>
      <w:r w:rsidR="001A0BB2">
        <w:t xml:space="preserve"> případě poplachu nebo narušení </w:t>
      </w:r>
      <w:r w:rsidR="008E0CA2">
        <w:t>O</w:t>
      </w:r>
      <w:r w:rsidR="001A0BB2">
        <w:t xml:space="preserve">bjektu spolupracuje s výjezdovou zásahovou jednotkou BA, na jejíž PCO je vyveden signál z EZS (vydává jí klíče od </w:t>
      </w:r>
      <w:r w:rsidR="008E0CA2">
        <w:t>O</w:t>
      </w:r>
      <w:r w:rsidR="001A0BB2">
        <w:t xml:space="preserve">bjektu proti podpisu). V případě poruchy kotelny </w:t>
      </w:r>
      <w:r w:rsidR="008E0CA2">
        <w:t>O</w:t>
      </w:r>
      <w:r w:rsidR="001A0BB2">
        <w:t xml:space="preserve">bjektu spolupracuje též s firmou řešící obsluhu kotelen. </w:t>
      </w:r>
    </w:p>
    <w:p w14:paraId="7E71FC18" w14:textId="77777777" w:rsidR="005B2020" w:rsidRDefault="001A0BB2">
      <w:pPr>
        <w:spacing w:after="205" w:line="259" w:lineRule="auto"/>
        <w:ind w:left="0" w:right="29" w:firstLine="0"/>
        <w:jc w:val="center"/>
      </w:pPr>
      <w:r>
        <w:t xml:space="preserve"> </w:t>
      </w:r>
    </w:p>
    <w:p w14:paraId="75E11329" w14:textId="77777777" w:rsidR="005B2020" w:rsidRDefault="001A0BB2">
      <w:pPr>
        <w:spacing w:after="222" w:line="259" w:lineRule="auto"/>
        <w:ind w:right="97"/>
        <w:jc w:val="center"/>
      </w:pPr>
      <w:r>
        <w:t xml:space="preserve"> čl. 2 </w:t>
      </w:r>
    </w:p>
    <w:p w14:paraId="56A90235" w14:textId="77777777" w:rsidR="005B2020" w:rsidRDefault="001A0BB2">
      <w:pPr>
        <w:pStyle w:val="Nadpis1"/>
        <w:ind w:right="98"/>
      </w:pPr>
      <w:r>
        <w:rPr>
          <w:b w:val="0"/>
        </w:rPr>
        <w:t xml:space="preserve"> </w:t>
      </w:r>
      <w:r>
        <w:t xml:space="preserve">Složení a délka směny </w:t>
      </w:r>
    </w:p>
    <w:p w14:paraId="2CC67DE7" w14:textId="2E900FE7" w:rsidR="005B2020" w:rsidRDefault="001A0BB2">
      <w:pPr>
        <w:numPr>
          <w:ilvl w:val="0"/>
          <w:numId w:val="3"/>
        </w:numPr>
        <w:spacing w:after="206" w:line="259" w:lineRule="auto"/>
        <w:ind w:right="86" w:hanging="302"/>
      </w:pPr>
      <w:r>
        <w:t xml:space="preserve">Směnu </w:t>
      </w:r>
      <w:r w:rsidR="00694499">
        <w:t xml:space="preserve">slouží </w:t>
      </w:r>
      <w:r>
        <w:t xml:space="preserve">každý den 1 </w:t>
      </w:r>
      <w:r w:rsidR="00694499">
        <w:t>BP.</w:t>
      </w:r>
      <w:r>
        <w:t xml:space="preserve">  </w:t>
      </w:r>
    </w:p>
    <w:p w14:paraId="55D8C7CE" w14:textId="1DE28A74" w:rsidR="005B2020" w:rsidRDefault="001A0BB2">
      <w:pPr>
        <w:numPr>
          <w:ilvl w:val="0"/>
          <w:numId w:val="3"/>
        </w:numPr>
        <w:spacing w:after="183" w:line="259" w:lineRule="auto"/>
        <w:ind w:right="86" w:hanging="302"/>
      </w:pPr>
      <w:r>
        <w:t xml:space="preserve">Doba </w:t>
      </w:r>
      <w:r w:rsidR="00694499">
        <w:t xml:space="preserve">směny </w:t>
      </w:r>
      <w:r>
        <w:t xml:space="preserve">je od </w:t>
      </w:r>
      <w:r w:rsidR="006D4C0F">
        <w:t>16</w:t>
      </w:r>
      <w:r>
        <w:t>:</w:t>
      </w:r>
      <w:r w:rsidR="006D4C0F">
        <w:t>30</w:t>
      </w:r>
      <w:r>
        <w:t xml:space="preserve"> hod. do 07:</w:t>
      </w:r>
      <w:r w:rsidR="006D4C0F">
        <w:t>30</w:t>
      </w:r>
      <w:r>
        <w:t xml:space="preserve"> hod. následujícího dne</w:t>
      </w:r>
      <w:r w:rsidR="006D4C0F">
        <w:t xml:space="preserve"> v pracovní dny</w:t>
      </w:r>
      <w:r>
        <w:t xml:space="preserve">. </w:t>
      </w:r>
      <w:r w:rsidR="006D4C0F">
        <w:t xml:space="preserve">Ve dnech pracovního klidu a svátcích </w:t>
      </w:r>
      <w:r w:rsidR="00694499">
        <w:t xml:space="preserve">činí doba směny </w:t>
      </w:r>
      <w:r w:rsidR="006D4C0F">
        <w:t>24 hodin.</w:t>
      </w:r>
    </w:p>
    <w:p w14:paraId="78760F36" w14:textId="5A63B220" w:rsidR="005B2020" w:rsidRDefault="001A0BB2">
      <w:pPr>
        <w:spacing w:after="205" w:line="259" w:lineRule="auto"/>
        <w:ind w:left="0" w:right="0" w:firstLine="0"/>
        <w:jc w:val="left"/>
      </w:pPr>
      <w:r>
        <w:t xml:space="preserve"> </w:t>
      </w:r>
    </w:p>
    <w:p w14:paraId="3DB56199" w14:textId="726DFA9A" w:rsidR="007D6D53" w:rsidRDefault="007D6D53">
      <w:pPr>
        <w:spacing w:after="205" w:line="259" w:lineRule="auto"/>
        <w:ind w:left="0" w:right="0" w:firstLine="0"/>
        <w:jc w:val="left"/>
      </w:pPr>
    </w:p>
    <w:p w14:paraId="0033E5DA" w14:textId="62059211" w:rsidR="007D6D53" w:rsidRDefault="007D6D53">
      <w:pPr>
        <w:spacing w:after="205" w:line="259" w:lineRule="auto"/>
        <w:ind w:left="0" w:right="0" w:firstLine="0"/>
        <w:jc w:val="left"/>
      </w:pPr>
    </w:p>
    <w:p w14:paraId="0AC18706" w14:textId="77777777" w:rsidR="007D6D53" w:rsidRDefault="007D6D53">
      <w:pPr>
        <w:spacing w:after="205" w:line="259" w:lineRule="auto"/>
        <w:ind w:left="0" w:right="0" w:firstLine="0"/>
        <w:jc w:val="left"/>
      </w:pPr>
    </w:p>
    <w:p w14:paraId="6432819A" w14:textId="77777777" w:rsidR="005B2020" w:rsidRDefault="001A0BB2">
      <w:pPr>
        <w:spacing w:after="222" w:line="259" w:lineRule="auto"/>
        <w:ind w:right="97"/>
        <w:jc w:val="center"/>
      </w:pPr>
      <w:r>
        <w:t xml:space="preserve"> čl. 3 </w:t>
      </w:r>
    </w:p>
    <w:p w14:paraId="00A2DBDF" w14:textId="77777777" w:rsidR="005B2020" w:rsidRDefault="001A0BB2">
      <w:pPr>
        <w:pStyle w:val="Nadpis1"/>
        <w:ind w:right="96"/>
      </w:pPr>
      <w:r>
        <w:rPr>
          <w:b w:val="0"/>
        </w:rPr>
        <w:t xml:space="preserve"> </w:t>
      </w:r>
      <w:r>
        <w:t xml:space="preserve">Výkon a organizace ostrahy </w:t>
      </w:r>
    </w:p>
    <w:p w14:paraId="02D9B536" w14:textId="32243C6C" w:rsidR="005B2020" w:rsidRDefault="001A0BB2">
      <w:pPr>
        <w:ind w:left="-5" w:right="86"/>
      </w:pPr>
      <w:r>
        <w:t>Míst</w:t>
      </w:r>
      <w:r w:rsidR="00694499">
        <w:t>em</w:t>
      </w:r>
      <w:r>
        <w:t xml:space="preserve"> služby je </w:t>
      </w:r>
      <w:r w:rsidR="008A795A">
        <w:t>m</w:t>
      </w:r>
      <w:r w:rsidR="004F066D">
        <w:t xml:space="preserve">ístnost nacházející se na nádvoří Objektu </w:t>
      </w:r>
      <w:r w:rsidR="00B24765">
        <w:t>označená jako „</w:t>
      </w:r>
      <w:r w:rsidR="00C94733">
        <w:t xml:space="preserve">služební </w:t>
      </w:r>
      <w:r w:rsidR="00B24765">
        <w:t>místnost ostrahy“</w:t>
      </w:r>
      <w:r w:rsidR="004F066D">
        <w:t xml:space="preserve"> </w:t>
      </w:r>
      <w:r>
        <w:t xml:space="preserve">, zabezpečení </w:t>
      </w:r>
      <w:r w:rsidR="00694499">
        <w:t>O</w:t>
      </w:r>
      <w:r>
        <w:t xml:space="preserve">bjektu </w:t>
      </w:r>
      <w:r w:rsidR="006B2D56">
        <w:t>–</w:t>
      </w:r>
      <w:r>
        <w:t xml:space="preserve"> EZS</w:t>
      </w:r>
      <w:r w:rsidR="006B2D56">
        <w:t xml:space="preserve"> AJAX a</w:t>
      </w:r>
      <w:r>
        <w:t xml:space="preserve"> EPS ústředna</w:t>
      </w:r>
      <w:r w:rsidR="006B2D56">
        <w:t xml:space="preserve"> je </w:t>
      </w:r>
      <w:r w:rsidR="00694499">
        <w:t>na</w:t>
      </w:r>
      <w:r w:rsidR="006B2D56">
        <w:t xml:space="preserve"> nádvoří </w:t>
      </w:r>
      <w:r w:rsidR="00694499">
        <w:t xml:space="preserve">Objektu </w:t>
      </w:r>
      <w:r w:rsidR="006B2D56">
        <w:t>v kanceláři technika údržby</w:t>
      </w:r>
      <w:r>
        <w:t xml:space="preserve">. </w:t>
      </w:r>
      <w:r w:rsidR="00826E68">
        <w:t xml:space="preserve"> </w:t>
      </w:r>
    </w:p>
    <w:p w14:paraId="7EFD579D" w14:textId="332ECE7B" w:rsidR="007D6D53" w:rsidRDefault="001A0BB2" w:rsidP="004C3C54">
      <w:pPr>
        <w:spacing w:after="3" w:line="449" w:lineRule="auto"/>
        <w:ind w:left="-5" w:right="-46"/>
      </w:pPr>
      <w:r>
        <w:t xml:space="preserve">Povinnosti </w:t>
      </w:r>
      <w:r w:rsidR="00694499">
        <w:t>BP v Objektu</w:t>
      </w:r>
      <w:r>
        <w:t xml:space="preserve"> jsou následující</w:t>
      </w:r>
      <w:r w:rsidR="007D6D53">
        <w:t>:</w:t>
      </w:r>
    </w:p>
    <w:p w14:paraId="750978C2" w14:textId="581724EF" w:rsidR="005B2020" w:rsidRDefault="001A0BB2">
      <w:pPr>
        <w:spacing w:after="3" w:line="449" w:lineRule="auto"/>
        <w:ind w:left="-5" w:right="4591"/>
      </w:pPr>
      <w:r>
        <w:t xml:space="preserve"> a)  Při nástupu služby BP: </w:t>
      </w:r>
    </w:p>
    <w:p w14:paraId="076AB342" w14:textId="08E1796B" w:rsidR="005B2020" w:rsidRDefault="001A0BB2" w:rsidP="004C3C54">
      <w:pPr>
        <w:numPr>
          <w:ilvl w:val="0"/>
          <w:numId w:val="4"/>
        </w:numPr>
        <w:spacing w:after="221" w:line="259" w:lineRule="auto"/>
        <w:ind w:left="709" w:right="86" w:hanging="146"/>
      </w:pPr>
      <w:r>
        <w:t xml:space="preserve">převezme zařízení a pomůcky podle seznamu inventáře od předcházející </w:t>
      </w:r>
      <w:r w:rsidR="00694499">
        <w:t>služby a </w:t>
      </w:r>
      <w:r>
        <w:t xml:space="preserve">převzetí služby potvrdí vlastnoručním podpisem v Knize služeb, </w:t>
      </w:r>
    </w:p>
    <w:p w14:paraId="236BB130" w14:textId="4CFBAB21" w:rsidR="005B2020" w:rsidRDefault="001A0BB2" w:rsidP="004C3C54">
      <w:pPr>
        <w:numPr>
          <w:ilvl w:val="0"/>
          <w:numId w:val="4"/>
        </w:numPr>
        <w:spacing w:after="225" w:line="259" w:lineRule="auto"/>
        <w:ind w:left="709" w:right="86" w:hanging="146"/>
      </w:pPr>
      <w:r>
        <w:t xml:space="preserve">provede kontrolní obchůzku </w:t>
      </w:r>
      <w:r w:rsidR="00694499">
        <w:t>O</w:t>
      </w:r>
      <w:r>
        <w:t xml:space="preserve">bjektu, </w:t>
      </w:r>
    </w:p>
    <w:p w14:paraId="7579397A" w14:textId="77777777" w:rsidR="005B2020" w:rsidRDefault="001A0BB2" w:rsidP="004C3C54">
      <w:pPr>
        <w:numPr>
          <w:ilvl w:val="0"/>
          <w:numId w:val="4"/>
        </w:numPr>
        <w:spacing w:after="223" w:line="259" w:lineRule="auto"/>
        <w:ind w:left="709" w:right="86" w:hanging="146"/>
      </w:pPr>
      <w:r>
        <w:t xml:space="preserve">nástup služby nahlásí pracovníkovi stálé služby BA. </w:t>
      </w:r>
    </w:p>
    <w:p w14:paraId="469F029E" w14:textId="6DE0DFBC" w:rsidR="005B2020" w:rsidRDefault="001A0BB2">
      <w:pPr>
        <w:numPr>
          <w:ilvl w:val="0"/>
          <w:numId w:val="5"/>
        </w:numPr>
        <w:ind w:right="86" w:hanging="341"/>
      </w:pPr>
      <w:r>
        <w:t xml:space="preserve">BP </w:t>
      </w:r>
      <w:r w:rsidR="00694499">
        <w:t xml:space="preserve">vede </w:t>
      </w:r>
      <w:r>
        <w:t xml:space="preserve">Knihu služeb, do níž provádí průběžně zápisy o službě, výsledcích provedených kontrol, zjištěných závadách apod. </w:t>
      </w:r>
    </w:p>
    <w:p w14:paraId="5D3446A1" w14:textId="58025D1E" w:rsidR="005B2020" w:rsidRDefault="001A0BB2">
      <w:pPr>
        <w:numPr>
          <w:ilvl w:val="0"/>
          <w:numId w:val="5"/>
        </w:numPr>
        <w:ind w:right="86" w:hanging="341"/>
      </w:pPr>
      <w:r>
        <w:t xml:space="preserve">BP nepřetržitě sleduje v místnosti určené pro ostrahu technické zajištění </w:t>
      </w:r>
      <w:r w:rsidR="00950B86">
        <w:t>O</w:t>
      </w:r>
      <w:r>
        <w:t xml:space="preserve">bjektu a v případě aktivace EZS, EPS provede ověření narušení a po vyhodnocení situace provede zásah. V případě plané aktivace EZS uvědomí PCO </w:t>
      </w:r>
      <w:r w:rsidR="009D0483">
        <w:t>m</w:t>
      </w:r>
      <w:r>
        <w:t xml:space="preserve">ěstské policie (dále jen </w:t>
      </w:r>
      <w:r w:rsidR="005F6087">
        <w:t>„</w:t>
      </w:r>
      <w:r>
        <w:t>MP</w:t>
      </w:r>
      <w:r w:rsidR="005F6087">
        <w:t>“</w:t>
      </w:r>
      <w:r>
        <w:t xml:space="preserve">). V případě skutečného narušení </w:t>
      </w:r>
      <w:r w:rsidR="005F6087">
        <w:t>O</w:t>
      </w:r>
      <w:r>
        <w:t xml:space="preserve">bjektu provede </w:t>
      </w:r>
      <w:r w:rsidR="009D0483">
        <w:t xml:space="preserve">BP </w:t>
      </w:r>
      <w:r>
        <w:t xml:space="preserve">povolání </w:t>
      </w:r>
      <w:r w:rsidR="009D0483">
        <w:t xml:space="preserve">státní </w:t>
      </w:r>
      <w:r>
        <w:t>policie</w:t>
      </w:r>
      <w:r w:rsidR="00E53F3C">
        <w:t xml:space="preserve"> </w:t>
      </w:r>
      <w:r>
        <w:t xml:space="preserve">a zásahové skupiny BA. Do jejich příjezdu monitoruje pohyb a počet narušitelů. Po příjezdu zasahujících orgánů je neprodleně informuje o situaci. </w:t>
      </w:r>
    </w:p>
    <w:p w14:paraId="39868985" w14:textId="6DBB2016" w:rsidR="005B2020" w:rsidRDefault="001A0BB2">
      <w:pPr>
        <w:numPr>
          <w:ilvl w:val="0"/>
          <w:numId w:val="5"/>
        </w:numPr>
        <w:spacing w:after="217" w:line="259" w:lineRule="auto"/>
        <w:ind w:right="86" w:hanging="341"/>
      </w:pPr>
      <w:r>
        <w:t xml:space="preserve">BP zajistí neustálé uzamčení hlavního </w:t>
      </w:r>
      <w:r w:rsidR="006B2D56">
        <w:t>vchodu</w:t>
      </w:r>
      <w:r>
        <w:t xml:space="preserve"> do </w:t>
      </w:r>
      <w:r w:rsidR="00E53F3C">
        <w:t>O</w:t>
      </w:r>
      <w:r>
        <w:t>bjektu</w:t>
      </w:r>
      <w:r w:rsidR="006B2D56">
        <w:t xml:space="preserve"> po pracovní době a ve dnech pracovního volna</w:t>
      </w:r>
      <w:r>
        <w:t xml:space="preserve">. </w:t>
      </w:r>
    </w:p>
    <w:p w14:paraId="795696E5" w14:textId="554B6DB0" w:rsidR="005B2020" w:rsidRDefault="001A0BB2">
      <w:pPr>
        <w:numPr>
          <w:ilvl w:val="0"/>
          <w:numId w:val="5"/>
        </w:numPr>
        <w:ind w:right="86" w:hanging="341"/>
      </w:pPr>
      <w:r>
        <w:t xml:space="preserve">Mimo návštěvníků </w:t>
      </w:r>
      <w:r w:rsidR="00E53F3C">
        <w:t>O</w:t>
      </w:r>
      <w:r>
        <w:t xml:space="preserve">bjektu, jež doprovází </w:t>
      </w:r>
      <w:r w:rsidR="00F16542">
        <w:t>průvodce – zaměstnanec</w:t>
      </w:r>
      <w:r>
        <w:t xml:space="preserve"> </w:t>
      </w:r>
      <w:r w:rsidR="00E53F3C">
        <w:t>Muzea hl. m. Prahy</w:t>
      </w:r>
      <w:r>
        <w:t xml:space="preserve">, povolí BP vstup do </w:t>
      </w:r>
      <w:r w:rsidR="00E53F3C">
        <w:t>O</w:t>
      </w:r>
      <w:r>
        <w:t xml:space="preserve">bjektu pouze </w:t>
      </w:r>
      <w:r w:rsidR="00E53F3C">
        <w:t>P</w:t>
      </w:r>
      <w:r>
        <w:t xml:space="preserve">ovolaným osobám. Jiným osobám povolí vstup na písemné povolení od vedoucích zaměstnanců </w:t>
      </w:r>
      <w:r w:rsidR="00E53F3C">
        <w:t>O</w:t>
      </w:r>
      <w:r>
        <w:t>bjektu</w:t>
      </w:r>
      <w:r w:rsidR="00D13C5E">
        <w:t>,</w:t>
      </w:r>
      <w:r>
        <w:t xml:space="preserve"> vedoucího provozu, ředitel</w:t>
      </w:r>
      <w:r w:rsidR="00BA2DBD">
        <w:t>e</w:t>
      </w:r>
      <w:r>
        <w:t xml:space="preserve"> </w:t>
      </w:r>
      <w:r w:rsidR="00D13C5E">
        <w:t>Muzea hl. m. Prahy</w:t>
      </w:r>
      <w:r>
        <w:t xml:space="preserve"> nebo od náměstkyně úseku vnitřních činností. Osoby je BP povinen zapisovat do Knihy návštěv s časy příchodů a odchodů, kde uvede jméno a č. OP</w:t>
      </w:r>
      <w:r w:rsidR="00D13C5E">
        <w:t xml:space="preserve"> nebo</w:t>
      </w:r>
      <w:r>
        <w:t xml:space="preserve"> pasu</w:t>
      </w:r>
      <w:r w:rsidR="00D13C5E">
        <w:t xml:space="preserve"> nebo jiného průkazu totožnosti</w:t>
      </w:r>
      <w:r>
        <w:t xml:space="preserve">. </w:t>
      </w:r>
    </w:p>
    <w:p w14:paraId="09E7B865" w14:textId="27F667F1" w:rsidR="005B2020" w:rsidRDefault="007D41B5">
      <w:pPr>
        <w:numPr>
          <w:ilvl w:val="0"/>
          <w:numId w:val="5"/>
        </w:numPr>
        <w:ind w:right="86" w:hanging="341"/>
      </w:pPr>
      <w:r w:rsidRPr="005704C5">
        <w:t>V</w:t>
      </w:r>
      <w:r w:rsidR="001A0BB2" w:rsidRPr="005704C5">
        <w:t xml:space="preserve">jezd </w:t>
      </w:r>
      <w:r w:rsidRPr="005704C5">
        <w:t xml:space="preserve">vozidel </w:t>
      </w:r>
      <w:r w:rsidR="00722E49">
        <w:t>do O</w:t>
      </w:r>
      <w:r w:rsidRPr="005704C5">
        <w:t>bjektu</w:t>
      </w:r>
      <w:r>
        <w:t xml:space="preserve"> </w:t>
      </w:r>
      <w:r w:rsidR="001A0BB2">
        <w:t xml:space="preserve">musí být povolen </w:t>
      </w:r>
      <w:r w:rsidR="00722E49">
        <w:t>O</w:t>
      </w:r>
      <w:r w:rsidR="001A0BB2">
        <w:t xml:space="preserve">právněnou osobou, při výjezdu z </w:t>
      </w:r>
      <w:r w:rsidR="00722E49">
        <w:t>O</w:t>
      </w:r>
      <w:r w:rsidR="001A0BB2">
        <w:t xml:space="preserve">bjektu </w:t>
      </w:r>
      <w:r w:rsidR="00722E49">
        <w:t xml:space="preserve">BP </w:t>
      </w:r>
      <w:r w:rsidR="001A0BB2">
        <w:t xml:space="preserve">kontroluje, zda nevyváží neoprávněně majetek </w:t>
      </w:r>
      <w:r w:rsidR="00722E49">
        <w:t>Muzea hl. m. Prahy</w:t>
      </w:r>
      <w:r w:rsidR="001A0BB2">
        <w:t xml:space="preserve">. Po vjezdu a výjezdu </w:t>
      </w:r>
      <w:r w:rsidR="00722E49">
        <w:t xml:space="preserve">vozidla </w:t>
      </w:r>
      <w:r w:rsidR="001A0BB2">
        <w:t xml:space="preserve">pořizuje BP záznam do Knihy služeb, kde uvede SPZ, čas příjezdu a odjezdu, důvod vjezdu. Při expedici exponátů </w:t>
      </w:r>
      <w:r w:rsidR="003920E0">
        <w:t xml:space="preserve">Muzea hl. m. Prahy </w:t>
      </w:r>
      <w:r w:rsidR="001A0BB2">
        <w:t xml:space="preserve">specializovanou firmou </w:t>
      </w:r>
      <w:r w:rsidR="00C930D2">
        <w:t>mimo</w:t>
      </w:r>
      <w:r w:rsidR="003920E0">
        <w:t xml:space="preserve"> </w:t>
      </w:r>
      <w:r w:rsidR="00C930D2">
        <w:t xml:space="preserve">pracovní dobu </w:t>
      </w:r>
      <w:r w:rsidR="003920E0">
        <w:t xml:space="preserve">Muzea hl. m. Prahy </w:t>
      </w:r>
      <w:r w:rsidR="001A0BB2">
        <w:t xml:space="preserve">musí odpovědný </w:t>
      </w:r>
      <w:r w:rsidR="001A0BB2">
        <w:lastRenderedPageBreak/>
        <w:t xml:space="preserve">vedoucí o transportu předem informovat </w:t>
      </w:r>
      <w:r w:rsidR="003920E0">
        <w:t>BP</w:t>
      </w:r>
      <w:r w:rsidR="001A0BB2">
        <w:t xml:space="preserve">. Vozidlo s takto organizovanou přepravou se nekontroluje z důvodu speciálního balení exponátů. </w:t>
      </w:r>
    </w:p>
    <w:p w14:paraId="1999AF12" w14:textId="32FE45C5" w:rsidR="005B2020" w:rsidRDefault="003920E0">
      <w:pPr>
        <w:numPr>
          <w:ilvl w:val="0"/>
          <w:numId w:val="5"/>
        </w:numPr>
        <w:ind w:right="86" w:hanging="341"/>
      </w:pPr>
      <w:r>
        <w:t>V O</w:t>
      </w:r>
      <w:r w:rsidR="001A0BB2">
        <w:t>bjektu sloužící BP musí být seznámeni s technickým zázemím - tj. uzávěry vody, el. proudu, plynu, EZS a EPS a s podmínkami PO a BOZP. O tomto bude sepsán a podepsán protokol</w:t>
      </w:r>
      <w:r w:rsidR="00076C73">
        <w:t xml:space="preserve"> odpovědnými pracovníky</w:t>
      </w:r>
      <w:r w:rsidR="00B52E91">
        <w:t xml:space="preserve"> BA a</w:t>
      </w:r>
      <w:r w:rsidR="00076C73">
        <w:t xml:space="preserve"> </w:t>
      </w:r>
      <w:r w:rsidR="00B52E91">
        <w:t>Muzea hl. m. Prahy</w:t>
      </w:r>
      <w:r w:rsidR="001A0BB2">
        <w:t xml:space="preserve">. </w:t>
      </w:r>
    </w:p>
    <w:p w14:paraId="745C923E" w14:textId="7B06677E" w:rsidR="006D4C0F" w:rsidRDefault="006D4C0F">
      <w:pPr>
        <w:numPr>
          <w:ilvl w:val="0"/>
          <w:numId w:val="5"/>
        </w:numPr>
        <w:ind w:right="86" w:hanging="341"/>
      </w:pPr>
      <w:r>
        <w:t>BP zajišťuje vysunování odpadových nádob podle rozpisu a jejich úklid</w:t>
      </w:r>
      <w:r w:rsidR="004573A8">
        <w:t xml:space="preserve"> – zpětné uložení odpadových nádob</w:t>
      </w:r>
      <w:r>
        <w:t>.</w:t>
      </w:r>
    </w:p>
    <w:p w14:paraId="63D31B3F" w14:textId="5FC75967" w:rsidR="006D4C0F" w:rsidRDefault="006D4C0F">
      <w:pPr>
        <w:numPr>
          <w:ilvl w:val="0"/>
          <w:numId w:val="5"/>
        </w:numPr>
        <w:ind w:right="86" w:hanging="341"/>
      </w:pPr>
      <w:r>
        <w:t>BP spolupracuje s úklidovou službou</w:t>
      </w:r>
      <w:r w:rsidR="00A34320">
        <w:t xml:space="preserve">, zajišťuje vstup zaměstnanců úklidové služby </w:t>
      </w:r>
      <w:r>
        <w:t>a kontroluje uzavření kanceláří po úklidu</w:t>
      </w:r>
      <w:r w:rsidR="00A34320">
        <w:t xml:space="preserve"> a odchod pracovníků úklidu z </w:t>
      </w:r>
      <w:r w:rsidR="003920E0">
        <w:t>O</w:t>
      </w:r>
      <w:r w:rsidR="00A34320">
        <w:t>bjektu.</w:t>
      </w:r>
    </w:p>
    <w:p w14:paraId="37DDF7BE" w14:textId="7DBD9F27" w:rsidR="005B2020" w:rsidRDefault="001A0BB2">
      <w:pPr>
        <w:numPr>
          <w:ilvl w:val="0"/>
          <w:numId w:val="5"/>
        </w:numPr>
        <w:ind w:right="86" w:hanging="341"/>
      </w:pPr>
      <w:r>
        <w:t xml:space="preserve">BP </w:t>
      </w:r>
      <w:r w:rsidR="006D4C0F">
        <w:t>v</w:t>
      </w:r>
      <w:r>
        <w:t xml:space="preserve"> zimním období je BP povinen zajistit odklizení sněhu </w:t>
      </w:r>
      <w:r w:rsidR="006D4C0F">
        <w:t>n</w:t>
      </w:r>
      <w:r>
        <w:t xml:space="preserve">a </w:t>
      </w:r>
      <w:r w:rsidR="006D4C0F">
        <w:t>přístupovém</w:t>
      </w:r>
      <w:r>
        <w:t xml:space="preserve"> chodník</w:t>
      </w:r>
      <w:r w:rsidR="006D4C0F">
        <w:t>u</w:t>
      </w:r>
      <w:r>
        <w:t xml:space="preserve"> </w:t>
      </w:r>
      <w:r w:rsidR="006D4C0F">
        <w:t>před vchodem do</w:t>
      </w:r>
      <w:r>
        <w:t xml:space="preserve"> </w:t>
      </w:r>
      <w:r w:rsidR="003920E0">
        <w:t>O</w:t>
      </w:r>
      <w:r>
        <w:t xml:space="preserve">bjektu. </w:t>
      </w:r>
    </w:p>
    <w:p w14:paraId="59760253" w14:textId="6E8F9A18" w:rsidR="005B2020" w:rsidRDefault="001A0BB2">
      <w:pPr>
        <w:numPr>
          <w:ilvl w:val="0"/>
          <w:numId w:val="5"/>
        </w:numPr>
        <w:ind w:right="86" w:hanging="341"/>
      </w:pPr>
      <w:r w:rsidRPr="006D4C0F">
        <w:t>BP spolupracuje s kontrolními orgány při šetření závažných událostí, které nastaly</w:t>
      </w:r>
      <w:r>
        <w:t xml:space="preserve"> během služby a neprodleně o nich informuje pracovníka stálé služby BA a vedoucího oddělení bezpečnosti </w:t>
      </w:r>
      <w:r w:rsidR="003920E0" w:rsidRPr="003920E0">
        <w:t>Muzea hl. m. Prahy</w:t>
      </w:r>
      <w:r>
        <w:t xml:space="preserve">. </w:t>
      </w:r>
    </w:p>
    <w:p w14:paraId="1F43FCE0" w14:textId="1C7C6ED3" w:rsidR="005B2020" w:rsidRDefault="001A0BB2">
      <w:pPr>
        <w:numPr>
          <w:ilvl w:val="0"/>
          <w:numId w:val="5"/>
        </w:numPr>
        <w:ind w:right="86" w:hanging="341"/>
      </w:pPr>
      <w:r>
        <w:t xml:space="preserve">V případě požáru nebo jiné </w:t>
      </w:r>
      <w:r w:rsidR="003920E0">
        <w:t>živelní</w:t>
      </w:r>
      <w:r>
        <w:t xml:space="preserve"> pohromy učiní všechna nezbytná opatření v</w:t>
      </w:r>
      <w:r w:rsidR="00FC24C0">
        <w:t> </w:t>
      </w:r>
      <w:r>
        <w:t>rámci dostupných možností, která povedou k úspěšné likvidaci mimořádné události</w:t>
      </w:r>
      <w:r w:rsidR="006D4C0F">
        <w:t>,</w:t>
      </w:r>
      <w:r>
        <w:t xml:space="preserve"> zajistí volný přístup a vjezd do </w:t>
      </w:r>
      <w:r w:rsidR="00FC24C0">
        <w:t>O</w:t>
      </w:r>
      <w:r>
        <w:t>bjektu pro zásahové jednotky</w:t>
      </w:r>
      <w:r w:rsidR="004573A8">
        <w:t xml:space="preserve"> BA.</w:t>
      </w:r>
      <w:r>
        <w:t xml:space="preserve"> V</w:t>
      </w:r>
      <w:r w:rsidR="00FC24C0">
        <w:t> </w:t>
      </w:r>
      <w:r>
        <w:t xml:space="preserve">případě aktivace EPS je třeba nejprve na místě prověřit, zda se nejedná o planý poplach. Jedná-li se o skutečný požár, urychleně přivolá hasičský sbor. </w:t>
      </w:r>
    </w:p>
    <w:p w14:paraId="0E48E53C" w14:textId="5DCC6E4D" w:rsidR="005B2020" w:rsidRDefault="001A0BB2">
      <w:pPr>
        <w:numPr>
          <w:ilvl w:val="0"/>
          <w:numId w:val="5"/>
        </w:numPr>
        <w:spacing w:after="97"/>
        <w:ind w:right="86" w:hanging="341"/>
      </w:pPr>
      <w:r>
        <w:t xml:space="preserve">BP v případě mimořádných událostí, kdy </w:t>
      </w:r>
      <w:r w:rsidR="005D0CCA">
        <w:t>není v možnostech BP</w:t>
      </w:r>
      <w:r>
        <w:t xml:space="preserve"> provedení zákroku, přivolávají telefonicky pomoc dle charakteru události. Pokud nehrozí časové prodlení, konzultují povolání pomoci s pracovníkem stálé služby BA. </w:t>
      </w:r>
    </w:p>
    <w:p w14:paraId="37651447" w14:textId="06B0710B" w:rsidR="007D6D53" w:rsidRDefault="005D734C" w:rsidP="004C3C54">
      <w:pPr>
        <w:spacing w:after="0" w:line="425" w:lineRule="auto"/>
        <w:ind w:left="426" w:right="3404" w:firstLine="0"/>
        <w:jc w:val="left"/>
      </w:pPr>
      <w:r>
        <w:t>hasiči</w:t>
      </w:r>
      <w:r w:rsidR="001A0BB2">
        <w:t xml:space="preserve"> - 150                                              </w:t>
      </w:r>
    </w:p>
    <w:p w14:paraId="1D8EE9B1" w14:textId="3BC7BB7D" w:rsidR="005B2020" w:rsidRDefault="001A0BB2" w:rsidP="004C3C54">
      <w:pPr>
        <w:spacing w:after="152" w:line="425" w:lineRule="auto"/>
        <w:ind w:left="426" w:right="3404" w:firstLine="0"/>
        <w:jc w:val="left"/>
      </w:pPr>
      <w:r>
        <w:t xml:space="preserve">policie (státní) - 158                                                  policie (městská) - 156                                                  záchranná služba - 155 </w:t>
      </w:r>
    </w:p>
    <w:p w14:paraId="0EA7FC4D" w14:textId="771A741D" w:rsidR="00846CD0" w:rsidRDefault="001A0BB2">
      <w:pPr>
        <w:spacing w:after="11"/>
        <w:ind w:left="326" w:right="86" w:hanging="341"/>
      </w:pPr>
      <w:r>
        <w:t xml:space="preserve">     Při příjezdu</w:t>
      </w:r>
      <w:r w:rsidR="005D0CCA">
        <w:t xml:space="preserve"> složek IZS</w:t>
      </w:r>
      <w:r>
        <w:t xml:space="preserve"> spolupracují BP s odbornými pracovníky a vždy po zákroku provedou podrobný písemný záznam o průběhu události. </w:t>
      </w:r>
    </w:p>
    <w:p w14:paraId="4CE5794A" w14:textId="77777777" w:rsidR="00846CD0" w:rsidRDefault="00846CD0">
      <w:pPr>
        <w:spacing w:after="160" w:line="259" w:lineRule="auto"/>
        <w:ind w:left="0" w:right="0" w:firstLine="0"/>
        <w:jc w:val="left"/>
      </w:pPr>
      <w:r>
        <w:br w:type="page"/>
      </w:r>
    </w:p>
    <w:p w14:paraId="1BED3BC3" w14:textId="77777777" w:rsidR="005B2020" w:rsidRDefault="005B2020">
      <w:pPr>
        <w:spacing w:after="11"/>
        <w:ind w:left="326" w:right="86" w:hanging="341"/>
      </w:pPr>
    </w:p>
    <w:p w14:paraId="18F35B0B" w14:textId="78708020" w:rsidR="005B2020" w:rsidRDefault="001A0BB2" w:rsidP="007D6D53">
      <w:pPr>
        <w:spacing w:after="182" w:line="259" w:lineRule="auto"/>
        <w:ind w:left="0" w:right="0" w:firstLine="0"/>
        <w:jc w:val="left"/>
      </w:pPr>
      <w:r>
        <w:t xml:space="preserve">  </w:t>
      </w:r>
    </w:p>
    <w:p w14:paraId="4AF87D60" w14:textId="77777777" w:rsidR="005B2020" w:rsidRDefault="001A0BB2">
      <w:pPr>
        <w:spacing w:after="144" w:line="259" w:lineRule="auto"/>
        <w:ind w:right="102"/>
        <w:jc w:val="center"/>
      </w:pPr>
      <w:r>
        <w:rPr>
          <w:sz w:val="32"/>
        </w:rPr>
        <w:t xml:space="preserve"> H L A V A   IV. </w:t>
      </w:r>
    </w:p>
    <w:p w14:paraId="39EEB78C" w14:textId="77777777" w:rsidR="005B2020" w:rsidRDefault="001A0BB2">
      <w:pPr>
        <w:spacing w:after="120" w:line="259" w:lineRule="auto"/>
        <w:ind w:right="97"/>
        <w:jc w:val="center"/>
      </w:pPr>
      <w:r>
        <w:rPr>
          <w:sz w:val="32"/>
        </w:rPr>
        <w:t xml:space="preserve"> </w:t>
      </w:r>
      <w:r w:rsidRPr="00A34320">
        <w:rPr>
          <w:sz w:val="32"/>
        </w:rPr>
        <w:t>Závěrečná ustanovení</w:t>
      </w:r>
      <w:r>
        <w:rPr>
          <w:sz w:val="32"/>
        </w:rPr>
        <w:t xml:space="preserve"> </w:t>
      </w:r>
    </w:p>
    <w:p w14:paraId="16045060" w14:textId="77777777" w:rsidR="005B2020" w:rsidRDefault="001A0BB2">
      <w:pPr>
        <w:spacing w:after="222" w:line="259" w:lineRule="auto"/>
        <w:ind w:right="97"/>
        <w:jc w:val="center"/>
      </w:pPr>
      <w:r>
        <w:t xml:space="preserve"> čl. 1 </w:t>
      </w:r>
    </w:p>
    <w:p w14:paraId="3E8C3689" w14:textId="77777777" w:rsidR="005B2020" w:rsidRDefault="001A0BB2">
      <w:pPr>
        <w:pStyle w:val="Nadpis1"/>
        <w:ind w:right="94"/>
      </w:pPr>
      <w:r>
        <w:rPr>
          <w:b w:val="0"/>
        </w:rPr>
        <w:t xml:space="preserve"> </w:t>
      </w:r>
      <w:r>
        <w:t xml:space="preserve">Vedení Knihy služeb </w:t>
      </w:r>
    </w:p>
    <w:p w14:paraId="2415006F" w14:textId="39ED6A25" w:rsidR="005B2020" w:rsidRDefault="005D0CCA">
      <w:pPr>
        <w:numPr>
          <w:ilvl w:val="0"/>
          <w:numId w:val="6"/>
        </w:numPr>
        <w:ind w:right="86" w:hanging="340"/>
      </w:pPr>
      <w:r>
        <w:t xml:space="preserve">BP </w:t>
      </w:r>
      <w:r w:rsidR="00A40AF4">
        <w:t xml:space="preserve">vede Knihu služeb </w:t>
      </w:r>
      <w:r w:rsidR="00F93E05">
        <w:t xml:space="preserve">a </w:t>
      </w:r>
      <w:r w:rsidR="001A0BB2">
        <w:t xml:space="preserve">při vedení Knihy služeb zapisuje všechny pravidelně prováděné úkony, resp. jejich výsledky, a rovněž tak všechny události narušující kvalitu výkonu služby. </w:t>
      </w:r>
    </w:p>
    <w:p w14:paraId="54BE73EC" w14:textId="02A29B86" w:rsidR="005B2020" w:rsidRDefault="001A0BB2">
      <w:pPr>
        <w:numPr>
          <w:ilvl w:val="0"/>
          <w:numId w:val="6"/>
        </w:numPr>
        <w:ind w:right="86" w:hanging="340"/>
      </w:pPr>
      <w:r>
        <w:t xml:space="preserve">Při kontrole výkonu služby BP předkládá na požádání Knihu služeb osobám pověřeným </w:t>
      </w:r>
      <w:r w:rsidR="00A40AF4">
        <w:t>ke</w:t>
      </w:r>
      <w:r w:rsidR="0004492B">
        <w:t xml:space="preserve"> </w:t>
      </w:r>
      <w:r>
        <w:t>kontrol</w:t>
      </w:r>
      <w:r w:rsidR="00A40AF4">
        <w:t>e</w:t>
      </w:r>
      <w:r>
        <w:t xml:space="preserve">, inspektorům BA a jejich nadřízeným.  </w:t>
      </w:r>
    </w:p>
    <w:p w14:paraId="2971F728" w14:textId="33351DE6" w:rsidR="005B2020" w:rsidRDefault="001A0BB2" w:rsidP="004C3C54">
      <w:pPr>
        <w:pStyle w:val="Odstavecseseznamem"/>
        <w:numPr>
          <w:ilvl w:val="0"/>
          <w:numId w:val="6"/>
        </w:numPr>
        <w:spacing w:after="395"/>
        <w:ind w:right="86" w:hanging="340"/>
      </w:pPr>
      <w:r>
        <w:t xml:space="preserve">BP dbá na dodržování režimu památkové ochrany </w:t>
      </w:r>
      <w:r w:rsidR="00A40AF4">
        <w:t>O</w:t>
      </w:r>
      <w:r>
        <w:t>bjektu a jejich porušování ze strany jiných osob neprodleně hlásí vedoucím zaměstnancům</w:t>
      </w:r>
      <w:r w:rsidR="00A40AF4">
        <w:t xml:space="preserve"> Muzea hl. m. Prahy</w:t>
      </w:r>
      <w:r w:rsidR="00C34CD6">
        <w:t>.</w:t>
      </w:r>
      <w:r>
        <w:t xml:space="preserve">  </w:t>
      </w:r>
    </w:p>
    <w:p w14:paraId="22DF29D1" w14:textId="5772054E" w:rsidR="00A94C63" w:rsidRPr="007D6D53" w:rsidRDefault="001A0BB2" w:rsidP="007D6D53">
      <w:pPr>
        <w:spacing w:after="0" w:line="259" w:lineRule="auto"/>
        <w:ind w:left="0" w:right="0" w:firstLine="0"/>
        <w:jc w:val="left"/>
        <w:rPr>
          <w:b/>
          <w:bCs/>
        </w:rPr>
      </w:pPr>
      <w:r>
        <w:t xml:space="preserve">                         </w:t>
      </w:r>
      <w:r>
        <w:rPr>
          <w:sz w:val="48"/>
        </w:rPr>
        <w:t xml:space="preserve"> </w:t>
      </w:r>
      <w:r w:rsidR="00A94C63" w:rsidRPr="007D6D53">
        <w:rPr>
          <w:b/>
          <w:bCs/>
        </w:rPr>
        <w:t>Seznámení bezpečnostních pracovníků se směrnicí</w:t>
      </w:r>
    </w:p>
    <w:p w14:paraId="6654061F" w14:textId="10359472" w:rsidR="00A94C63" w:rsidRPr="007D6D53" w:rsidRDefault="00A94C63" w:rsidP="00A94C63">
      <w:pPr>
        <w:spacing w:after="126" w:line="341" w:lineRule="auto"/>
        <w:ind w:left="351" w:right="5" w:hanging="351"/>
        <w:jc w:val="center"/>
        <w:rPr>
          <w:b/>
          <w:bCs/>
          <w:kern w:val="32"/>
          <w:szCs w:val="24"/>
        </w:rPr>
      </w:pPr>
      <w:r w:rsidRPr="007D6D53">
        <w:rPr>
          <w:b/>
          <w:bCs/>
          <w:kern w:val="32"/>
          <w:szCs w:val="24"/>
        </w:rPr>
        <w:t xml:space="preserve">pro výkon služby fyzické ostrahy </w:t>
      </w:r>
      <w:r w:rsidR="00F93E05">
        <w:rPr>
          <w:b/>
          <w:bCs/>
          <w:kern w:val="32"/>
          <w:szCs w:val="24"/>
        </w:rPr>
        <w:t>O</w:t>
      </w:r>
      <w:r w:rsidRPr="007D6D53">
        <w:rPr>
          <w:b/>
          <w:bCs/>
          <w:kern w:val="32"/>
          <w:szCs w:val="24"/>
        </w:rPr>
        <w:t>bjektu</w:t>
      </w:r>
    </w:p>
    <w:p w14:paraId="6963AE4A" w14:textId="77777777" w:rsidR="00A94C63" w:rsidRPr="00A94C63" w:rsidRDefault="00A94C63" w:rsidP="00A94C63">
      <w:pPr>
        <w:spacing w:after="126" w:line="276" w:lineRule="auto"/>
        <w:ind w:left="351" w:right="5" w:hanging="351"/>
        <w:jc w:val="center"/>
        <w:rPr>
          <w:rFonts w:ascii="Times New Roman" w:hAnsi="Times New Roman"/>
          <w:sz w:val="18"/>
          <w:lang w:eastAsia="en-US"/>
        </w:rPr>
      </w:pPr>
      <w:r w:rsidRPr="00A94C63">
        <w:rPr>
          <w:sz w:val="18"/>
          <w:lang w:eastAsia="en-US"/>
        </w:rPr>
        <w:t>Podpisem stvrzuji, že jsem byl seznámen s objektovou směrnicí pro výkon služby a že jsem jí porozuměl: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3164"/>
        <w:gridCol w:w="2432"/>
      </w:tblGrid>
      <w:tr w:rsidR="00A94C63" w:rsidRPr="00A94C63" w14:paraId="17F95575" w14:textId="77777777" w:rsidTr="00EB2FCE">
        <w:trPr>
          <w:trHeight w:val="403"/>
          <w:jc w:val="center"/>
        </w:trPr>
        <w:tc>
          <w:tcPr>
            <w:tcW w:w="3476" w:type="dxa"/>
            <w:tcBorders>
              <w:bottom w:val="double" w:sz="4" w:space="0" w:color="auto"/>
            </w:tcBorders>
            <w:vAlign w:val="center"/>
          </w:tcPr>
          <w:p w14:paraId="302232A3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jc w:val="center"/>
              <w:rPr>
                <w:b/>
                <w:lang w:eastAsia="en-US"/>
              </w:rPr>
            </w:pPr>
            <w:r w:rsidRPr="00A94C63">
              <w:rPr>
                <w:b/>
                <w:lang w:eastAsia="en-US"/>
              </w:rPr>
              <w:t>Příjmení, jméno</w:t>
            </w:r>
          </w:p>
        </w:tc>
        <w:tc>
          <w:tcPr>
            <w:tcW w:w="3164" w:type="dxa"/>
            <w:tcBorders>
              <w:bottom w:val="double" w:sz="4" w:space="0" w:color="auto"/>
            </w:tcBorders>
            <w:vAlign w:val="center"/>
          </w:tcPr>
          <w:p w14:paraId="2AFD6451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jc w:val="center"/>
              <w:rPr>
                <w:b/>
                <w:lang w:eastAsia="en-US"/>
              </w:rPr>
            </w:pPr>
            <w:r w:rsidRPr="00A94C63">
              <w:rPr>
                <w:b/>
                <w:lang w:eastAsia="en-US"/>
              </w:rPr>
              <w:t xml:space="preserve">Datum </w:t>
            </w:r>
          </w:p>
        </w:tc>
        <w:tc>
          <w:tcPr>
            <w:tcW w:w="2432" w:type="dxa"/>
            <w:tcBorders>
              <w:bottom w:val="double" w:sz="4" w:space="0" w:color="auto"/>
            </w:tcBorders>
            <w:vAlign w:val="center"/>
          </w:tcPr>
          <w:p w14:paraId="55FE4DBE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jc w:val="center"/>
              <w:rPr>
                <w:b/>
                <w:lang w:eastAsia="en-US"/>
              </w:rPr>
            </w:pPr>
            <w:r w:rsidRPr="00A94C63">
              <w:rPr>
                <w:b/>
                <w:lang w:eastAsia="en-US"/>
              </w:rPr>
              <w:t>Podpis</w:t>
            </w:r>
          </w:p>
        </w:tc>
      </w:tr>
      <w:tr w:rsidR="00A94C63" w:rsidRPr="00A94C63" w14:paraId="72ECD85A" w14:textId="77777777" w:rsidTr="00EB2FCE">
        <w:trPr>
          <w:trHeight w:val="403"/>
          <w:jc w:val="center"/>
        </w:trPr>
        <w:tc>
          <w:tcPr>
            <w:tcW w:w="3476" w:type="dxa"/>
            <w:tcBorders>
              <w:top w:val="double" w:sz="4" w:space="0" w:color="auto"/>
            </w:tcBorders>
          </w:tcPr>
          <w:p w14:paraId="53501E67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  <w:tcBorders>
              <w:top w:val="double" w:sz="4" w:space="0" w:color="auto"/>
            </w:tcBorders>
          </w:tcPr>
          <w:p w14:paraId="43AB3866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  <w:tcBorders>
              <w:top w:val="double" w:sz="4" w:space="0" w:color="auto"/>
            </w:tcBorders>
          </w:tcPr>
          <w:p w14:paraId="1A9F78E0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07AAC353" w14:textId="77777777" w:rsidTr="00EB2FCE">
        <w:trPr>
          <w:trHeight w:val="403"/>
          <w:jc w:val="center"/>
        </w:trPr>
        <w:tc>
          <w:tcPr>
            <w:tcW w:w="3476" w:type="dxa"/>
          </w:tcPr>
          <w:p w14:paraId="0334F0A1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210014C0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1B28CF70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7069843E" w14:textId="77777777" w:rsidTr="00EB2FCE">
        <w:trPr>
          <w:trHeight w:val="403"/>
          <w:jc w:val="center"/>
        </w:trPr>
        <w:tc>
          <w:tcPr>
            <w:tcW w:w="3476" w:type="dxa"/>
          </w:tcPr>
          <w:p w14:paraId="3D13ED24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407D5B70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2429BDF7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47AC3F58" w14:textId="77777777" w:rsidTr="00EB2FCE">
        <w:trPr>
          <w:trHeight w:val="403"/>
          <w:jc w:val="center"/>
        </w:trPr>
        <w:tc>
          <w:tcPr>
            <w:tcW w:w="3476" w:type="dxa"/>
          </w:tcPr>
          <w:p w14:paraId="1B0344B9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67702CF8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557A1609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288A82AB" w14:textId="77777777" w:rsidTr="00EB2FCE">
        <w:trPr>
          <w:trHeight w:val="403"/>
          <w:jc w:val="center"/>
        </w:trPr>
        <w:tc>
          <w:tcPr>
            <w:tcW w:w="3476" w:type="dxa"/>
          </w:tcPr>
          <w:p w14:paraId="3606F846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446F5F16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7F9F97AB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59C024D3" w14:textId="77777777" w:rsidTr="00EB2FCE">
        <w:trPr>
          <w:trHeight w:val="403"/>
          <w:jc w:val="center"/>
        </w:trPr>
        <w:tc>
          <w:tcPr>
            <w:tcW w:w="3476" w:type="dxa"/>
          </w:tcPr>
          <w:p w14:paraId="64C3A439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40801133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0C2099FD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50AB00BC" w14:textId="77777777" w:rsidTr="00EB2FCE">
        <w:trPr>
          <w:trHeight w:val="403"/>
          <w:jc w:val="center"/>
        </w:trPr>
        <w:tc>
          <w:tcPr>
            <w:tcW w:w="3476" w:type="dxa"/>
          </w:tcPr>
          <w:p w14:paraId="3B51890C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42035565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14EFDAD6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522A8347" w14:textId="77777777" w:rsidTr="00EB2FCE">
        <w:trPr>
          <w:trHeight w:val="403"/>
          <w:jc w:val="center"/>
        </w:trPr>
        <w:tc>
          <w:tcPr>
            <w:tcW w:w="3476" w:type="dxa"/>
          </w:tcPr>
          <w:p w14:paraId="4B480097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244B87F5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00AB9973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22CAC83E" w14:textId="77777777" w:rsidTr="00EB2FCE">
        <w:trPr>
          <w:trHeight w:val="403"/>
          <w:jc w:val="center"/>
        </w:trPr>
        <w:tc>
          <w:tcPr>
            <w:tcW w:w="3476" w:type="dxa"/>
          </w:tcPr>
          <w:p w14:paraId="43FB24F8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14C60BCC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0CBF5273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26A6F591" w14:textId="77777777" w:rsidTr="00EB2FCE">
        <w:trPr>
          <w:trHeight w:val="403"/>
          <w:jc w:val="center"/>
        </w:trPr>
        <w:tc>
          <w:tcPr>
            <w:tcW w:w="3476" w:type="dxa"/>
          </w:tcPr>
          <w:p w14:paraId="5870AA6B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7546B80A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350F4A6D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2B0785D1" w14:textId="77777777" w:rsidTr="00EB2FCE">
        <w:trPr>
          <w:trHeight w:val="403"/>
          <w:jc w:val="center"/>
        </w:trPr>
        <w:tc>
          <w:tcPr>
            <w:tcW w:w="3476" w:type="dxa"/>
          </w:tcPr>
          <w:p w14:paraId="6E277777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7B1F0E7B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717B876E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3F18B98C" w14:textId="77777777" w:rsidTr="00EB2FCE">
        <w:trPr>
          <w:trHeight w:val="403"/>
          <w:jc w:val="center"/>
        </w:trPr>
        <w:tc>
          <w:tcPr>
            <w:tcW w:w="3476" w:type="dxa"/>
          </w:tcPr>
          <w:p w14:paraId="5AA56A55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16ED1CB1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217275AA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7FF3BA66" w14:textId="77777777" w:rsidTr="00EB2FCE">
        <w:trPr>
          <w:trHeight w:val="403"/>
          <w:jc w:val="center"/>
        </w:trPr>
        <w:tc>
          <w:tcPr>
            <w:tcW w:w="3476" w:type="dxa"/>
          </w:tcPr>
          <w:p w14:paraId="329311F1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4F241B79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373ED164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1380ED86" w14:textId="77777777" w:rsidTr="00EB2FCE">
        <w:trPr>
          <w:trHeight w:val="403"/>
          <w:jc w:val="center"/>
        </w:trPr>
        <w:tc>
          <w:tcPr>
            <w:tcW w:w="3476" w:type="dxa"/>
          </w:tcPr>
          <w:p w14:paraId="4442C96D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51362381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24FCDB97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7A978446" w14:textId="77777777" w:rsidTr="00EB2FCE">
        <w:trPr>
          <w:trHeight w:val="403"/>
          <w:jc w:val="center"/>
        </w:trPr>
        <w:tc>
          <w:tcPr>
            <w:tcW w:w="3476" w:type="dxa"/>
          </w:tcPr>
          <w:p w14:paraId="5424F3F6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28B00CBE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04E5AFD7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135D5D2C" w14:textId="77777777" w:rsidTr="00EB2FCE">
        <w:trPr>
          <w:trHeight w:val="403"/>
          <w:jc w:val="center"/>
        </w:trPr>
        <w:tc>
          <w:tcPr>
            <w:tcW w:w="3476" w:type="dxa"/>
          </w:tcPr>
          <w:p w14:paraId="21BA61F9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064D60B5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6183ABA9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18ACB0F3" w14:textId="77777777" w:rsidTr="00EB2FCE">
        <w:trPr>
          <w:trHeight w:val="403"/>
          <w:jc w:val="center"/>
        </w:trPr>
        <w:tc>
          <w:tcPr>
            <w:tcW w:w="3476" w:type="dxa"/>
          </w:tcPr>
          <w:p w14:paraId="7FCC0E3D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524B2F46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296166AD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634F7773" w14:textId="77777777" w:rsidTr="00EB2FCE">
        <w:trPr>
          <w:trHeight w:val="403"/>
          <w:jc w:val="center"/>
        </w:trPr>
        <w:tc>
          <w:tcPr>
            <w:tcW w:w="3476" w:type="dxa"/>
          </w:tcPr>
          <w:p w14:paraId="340D134D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74AA2D36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3F957252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28EC90CA" w14:textId="77777777" w:rsidTr="00EB2FCE">
        <w:trPr>
          <w:trHeight w:val="403"/>
          <w:jc w:val="center"/>
        </w:trPr>
        <w:tc>
          <w:tcPr>
            <w:tcW w:w="3476" w:type="dxa"/>
          </w:tcPr>
          <w:p w14:paraId="7AA65170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598F2DA5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64D70BCC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5B883D6D" w14:textId="77777777" w:rsidTr="00EB2FCE">
        <w:trPr>
          <w:trHeight w:val="403"/>
          <w:jc w:val="center"/>
        </w:trPr>
        <w:tc>
          <w:tcPr>
            <w:tcW w:w="3476" w:type="dxa"/>
          </w:tcPr>
          <w:p w14:paraId="167B5CA4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159DCF74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622C60BE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4FB35F27" w14:textId="77777777" w:rsidTr="00EB2FCE">
        <w:trPr>
          <w:trHeight w:val="403"/>
          <w:jc w:val="center"/>
        </w:trPr>
        <w:tc>
          <w:tcPr>
            <w:tcW w:w="3476" w:type="dxa"/>
          </w:tcPr>
          <w:p w14:paraId="14A967BA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41FCF7FA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20C20E82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469CCAE8" w14:textId="77777777" w:rsidTr="00EB2FCE">
        <w:trPr>
          <w:trHeight w:val="403"/>
          <w:jc w:val="center"/>
        </w:trPr>
        <w:tc>
          <w:tcPr>
            <w:tcW w:w="3476" w:type="dxa"/>
          </w:tcPr>
          <w:p w14:paraId="2F563169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18B2659C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0EF0CAB2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166DB857" w14:textId="77777777" w:rsidTr="00EB2FCE">
        <w:trPr>
          <w:trHeight w:val="403"/>
          <w:jc w:val="center"/>
        </w:trPr>
        <w:tc>
          <w:tcPr>
            <w:tcW w:w="3476" w:type="dxa"/>
          </w:tcPr>
          <w:p w14:paraId="0821019F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7547F458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6475CE06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1E091AC8" w14:textId="77777777" w:rsidTr="00EB2FCE">
        <w:trPr>
          <w:trHeight w:val="403"/>
          <w:jc w:val="center"/>
        </w:trPr>
        <w:tc>
          <w:tcPr>
            <w:tcW w:w="3476" w:type="dxa"/>
          </w:tcPr>
          <w:p w14:paraId="0A459443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2A5579BA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2C2B8E91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  <w:tr w:rsidR="00A94C63" w:rsidRPr="00A94C63" w14:paraId="587A74F9" w14:textId="77777777" w:rsidTr="00EB2FCE">
        <w:trPr>
          <w:trHeight w:val="403"/>
          <w:jc w:val="center"/>
        </w:trPr>
        <w:tc>
          <w:tcPr>
            <w:tcW w:w="3476" w:type="dxa"/>
          </w:tcPr>
          <w:p w14:paraId="5E5536C8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4" w:type="dxa"/>
          </w:tcPr>
          <w:p w14:paraId="0623857B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2" w:type="dxa"/>
          </w:tcPr>
          <w:p w14:paraId="1BC4659A" w14:textId="77777777" w:rsidR="00A94C63" w:rsidRPr="00A94C63" w:rsidRDefault="00A94C63" w:rsidP="00A94C63">
            <w:pPr>
              <w:spacing w:after="126" w:line="276" w:lineRule="auto"/>
              <w:ind w:left="351" w:right="5" w:hanging="351"/>
              <w:rPr>
                <w:rFonts w:ascii="Times New Roman" w:hAnsi="Times New Roman"/>
                <w:lang w:eastAsia="en-US"/>
              </w:rPr>
            </w:pPr>
          </w:p>
        </w:tc>
      </w:tr>
    </w:tbl>
    <w:p w14:paraId="32BA021E" w14:textId="687B2555" w:rsidR="005B2020" w:rsidRDefault="005B2020">
      <w:pPr>
        <w:spacing w:after="0" w:line="259" w:lineRule="auto"/>
        <w:ind w:left="0" w:right="0" w:firstLine="0"/>
        <w:jc w:val="left"/>
      </w:pPr>
    </w:p>
    <w:sectPr w:rsidR="005B2020">
      <w:footerReference w:type="even" r:id="rId11"/>
      <w:footerReference w:type="default" r:id="rId12"/>
      <w:footerReference w:type="first" r:id="rId13"/>
      <w:pgSz w:w="11906" w:h="16841"/>
      <w:pgMar w:top="747" w:right="1319" w:bottom="706" w:left="1419" w:header="708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A7D80" w14:textId="77777777" w:rsidR="003D642E" w:rsidRDefault="003D642E">
      <w:pPr>
        <w:spacing w:after="0" w:line="240" w:lineRule="auto"/>
      </w:pPr>
      <w:r>
        <w:separator/>
      </w:r>
    </w:p>
  </w:endnote>
  <w:endnote w:type="continuationSeparator" w:id="0">
    <w:p w14:paraId="485885D2" w14:textId="77777777" w:rsidR="003D642E" w:rsidRDefault="003D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7252F" w14:textId="77777777" w:rsidR="005B2020" w:rsidRDefault="001A0BB2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                                                                                                                                                                             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6681" w14:textId="77777777" w:rsidR="005B2020" w:rsidRDefault="001A0BB2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                                                                                                                                                                             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E93B" w14:textId="77777777" w:rsidR="005B2020" w:rsidRDefault="001A0BB2">
    <w:pPr>
      <w:tabs>
        <w:tab w:val="right" w:pos="9169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ab/>
      <w:t xml:space="preserve">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7FCD" w14:textId="77777777" w:rsidR="003D642E" w:rsidRDefault="003D642E">
      <w:pPr>
        <w:spacing w:after="0" w:line="240" w:lineRule="auto"/>
      </w:pPr>
      <w:r>
        <w:separator/>
      </w:r>
    </w:p>
  </w:footnote>
  <w:footnote w:type="continuationSeparator" w:id="0">
    <w:p w14:paraId="39EC61FD" w14:textId="77777777" w:rsidR="003D642E" w:rsidRDefault="003D6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4BD5"/>
    <w:multiLevelType w:val="hybridMultilevel"/>
    <w:tmpl w:val="EEB67C56"/>
    <w:lvl w:ilvl="0" w:tplc="6D0CCBB4">
      <w:start w:val="2"/>
      <w:numFmt w:val="lowerLetter"/>
      <w:lvlText w:val="%1)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CF1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27F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4FD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0BB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8FE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0B3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205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CAC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04064"/>
    <w:multiLevelType w:val="hybridMultilevel"/>
    <w:tmpl w:val="DD22DC6E"/>
    <w:lvl w:ilvl="0" w:tplc="0B9CAF8E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C5278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052EE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22BB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4BB2A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A6CBA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41DEA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0CB6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6737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42070"/>
    <w:multiLevelType w:val="hybridMultilevel"/>
    <w:tmpl w:val="39EEA7D4"/>
    <w:lvl w:ilvl="0" w:tplc="DDAA747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05DE6">
      <w:start w:val="1"/>
      <w:numFmt w:val="bullet"/>
      <w:lvlText w:val="o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CD4EE">
      <w:start w:val="1"/>
      <w:numFmt w:val="bullet"/>
      <w:lvlText w:val="▪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ED40A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2C5B4">
      <w:start w:val="1"/>
      <w:numFmt w:val="bullet"/>
      <w:lvlText w:val="o"/>
      <w:lvlJc w:val="left"/>
      <w:pPr>
        <w:ind w:left="3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690C2">
      <w:start w:val="1"/>
      <w:numFmt w:val="bullet"/>
      <w:lvlText w:val="▪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2F256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AA0B4">
      <w:start w:val="1"/>
      <w:numFmt w:val="bullet"/>
      <w:lvlText w:val="o"/>
      <w:lvlJc w:val="left"/>
      <w:pPr>
        <w:ind w:left="5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AE50C">
      <w:start w:val="1"/>
      <w:numFmt w:val="bullet"/>
      <w:lvlText w:val="▪"/>
      <w:lvlJc w:val="left"/>
      <w:pPr>
        <w:ind w:left="6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6C5F19"/>
    <w:multiLevelType w:val="hybridMultilevel"/>
    <w:tmpl w:val="FB4C335C"/>
    <w:lvl w:ilvl="0" w:tplc="D570A4EA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CA3C6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4CF98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8088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015BE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AFF1A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22490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2396E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ED2B2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1A220E"/>
    <w:multiLevelType w:val="hybridMultilevel"/>
    <w:tmpl w:val="365CD0E0"/>
    <w:lvl w:ilvl="0" w:tplc="B628C6E8">
      <w:start w:val="1"/>
      <w:numFmt w:val="lowerLetter"/>
      <w:lvlText w:val="%1)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40184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6323C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6EC64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EC01E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0D046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A6A4A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C01CE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E4FDC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DC282C"/>
    <w:multiLevelType w:val="hybridMultilevel"/>
    <w:tmpl w:val="D806D604"/>
    <w:lvl w:ilvl="0" w:tplc="E24E64BA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6A686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0AE44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6278C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E87A4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6BC54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48272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0C92A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6F896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9948036">
    <w:abstractNumId w:val="5"/>
  </w:num>
  <w:num w:numId="2" w16cid:durableId="1968969835">
    <w:abstractNumId w:val="4"/>
  </w:num>
  <w:num w:numId="3" w16cid:durableId="2030331222">
    <w:abstractNumId w:val="1"/>
  </w:num>
  <w:num w:numId="4" w16cid:durableId="981351967">
    <w:abstractNumId w:val="2"/>
  </w:num>
  <w:num w:numId="5" w16cid:durableId="1959070578">
    <w:abstractNumId w:val="0"/>
  </w:num>
  <w:num w:numId="6" w16cid:durableId="748695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20"/>
    <w:rsid w:val="00006175"/>
    <w:rsid w:val="0002123F"/>
    <w:rsid w:val="0004492B"/>
    <w:rsid w:val="000520BE"/>
    <w:rsid w:val="000666F2"/>
    <w:rsid w:val="00075473"/>
    <w:rsid w:val="00076C73"/>
    <w:rsid w:val="000A0069"/>
    <w:rsid w:val="000E0D32"/>
    <w:rsid w:val="000F672A"/>
    <w:rsid w:val="00132419"/>
    <w:rsid w:val="001333BB"/>
    <w:rsid w:val="00185FCE"/>
    <w:rsid w:val="001A0BB2"/>
    <w:rsid w:val="001B29F5"/>
    <w:rsid w:val="001C24A9"/>
    <w:rsid w:val="001F0D11"/>
    <w:rsid w:val="00232C87"/>
    <w:rsid w:val="00235AEC"/>
    <w:rsid w:val="002617DB"/>
    <w:rsid w:val="0027226E"/>
    <w:rsid w:val="002E30F8"/>
    <w:rsid w:val="002F6E20"/>
    <w:rsid w:val="003708A2"/>
    <w:rsid w:val="0037585B"/>
    <w:rsid w:val="0037788B"/>
    <w:rsid w:val="003920E0"/>
    <w:rsid w:val="00392BC7"/>
    <w:rsid w:val="003A7D98"/>
    <w:rsid w:val="003C5B79"/>
    <w:rsid w:val="003D642E"/>
    <w:rsid w:val="004405E0"/>
    <w:rsid w:val="0044243B"/>
    <w:rsid w:val="00444969"/>
    <w:rsid w:val="00445AE1"/>
    <w:rsid w:val="004573A8"/>
    <w:rsid w:val="00473275"/>
    <w:rsid w:val="004835B9"/>
    <w:rsid w:val="004B25C8"/>
    <w:rsid w:val="004C3C54"/>
    <w:rsid w:val="004D12EE"/>
    <w:rsid w:val="004D4CAA"/>
    <w:rsid w:val="004E7433"/>
    <w:rsid w:val="004F066D"/>
    <w:rsid w:val="004F65FA"/>
    <w:rsid w:val="0054269C"/>
    <w:rsid w:val="0055205F"/>
    <w:rsid w:val="00561E1D"/>
    <w:rsid w:val="005655CE"/>
    <w:rsid w:val="005704C5"/>
    <w:rsid w:val="005A16E6"/>
    <w:rsid w:val="005B2020"/>
    <w:rsid w:val="005D0CCA"/>
    <w:rsid w:val="005D2118"/>
    <w:rsid w:val="005D734C"/>
    <w:rsid w:val="005F6087"/>
    <w:rsid w:val="006707CF"/>
    <w:rsid w:val="00694499"/>
    <w:rsid w:val="006A017B"/>
    <w:rsid w:val="006A4BCF"/>
    <w:rsid w:val="006B2D56"/>
    <w:rsid w:val="006D4C0F"/>
    <w:rsid w:val="00703818"/>
    <w:rsid w:val="00710EFC"/>
    <w:rsid w:val="00722E49"/>
    <w:rsid w:val="00782AAB"/>
    <w:rsid w:val="00791874"/>
    <w:rsid w:val="007972F6"/>
    <w:rsid w:val="007A156D"/>
    <w:rsid w:val="007A722B"/>
    <w:rsid w:val="007D14A7"/>
    <w:rsid w:val="007D41B5"/>
    <w:rsid w:val="007D6D53"/>
    <w:rsid w:val="007E44AB"/>
    <w:rsid w:val="00826E68"/>
    <w:rsid w:val="008377CE"/>
    <w:rsid w:val="00846CD0"/>
    <w:rsid w:val="008577F4"/>
    <w:rsid w:val="008657A9"/>
    <w:rsid w:val="0086724F"/>
    <w:rsid w:val="0087710C"/>
    <w:rsid w:val="008A795A"/>
    <w:rsid w:val="008C59E4"/>
    <w:rsid w:val="008C7FAD"/>
    <w:rsid w:val="008E0CA2"/>
    <w:rsid w:val="008E32B5"/>
    <w:rsid w:val="009048F6"/>
    <w:rsid w:val="00912561"/>
    <w:rsid w:val="00917E5B"/>
    <w:rsid w:val="00950B86"/>
    <w:rsid w:val="00954B43"/>
    <w:rsid w:val="009D0483"/>
    <w:rsid w:val="009E74CF"/>
    <w:rsid w:val="00A26927"/>
    <w:rsid w:val="00A34320"/>
    <w:rsid w:val="00A40AF4"/>
    <w:rsid w:val="00A46C9E"/>
    <w:rsid w:val="00A702E9"/>
    <w:rsid w:val="00A73DD0"/>
    <w:rsid w:val="00A94C63"/>
    <w:rsid w:val="00A96E55"/>
    <w:rsid w:val="00AB596A"/>
    <w:rsid w:val="00AC491D"/>
    <w:rsid w:val="00AF38AB"/>
    <w:rsid w:val="00B24765"/>
    <w:rsid w:val="00B37BF8"/>
    <w:rsid w:val="00B52E91"/>
    <w:rsid w:val="00B56CE4"/>
    <w:rsid w:val="00B81E33"/>
    <w:rsid w:val="00B83333"/>
    <w:rsid w:val="00BA2DBD"/>
    <w:rsid w:val="00BC415A"/>
    <w:rsid w:val="00C34CD6"/>
    <w:rsid w:val="00C42D15"/>
    <w:rsid w:val="00C7782A"/>
    <w:rsid w:val="00C84D76"/>
    <w:rsid w:val="00C854C9"/>
    <w:rsid w:val="00C930D2"/>
    <w:rsid w:val="00C94733"/>
    <w:rsid w:val="00CD010A"/>
    <w:rsid w:val="00CD0A4F"/>
    <w:rsid w:val="00CF40C3"/>
    <w:rsid w:val="00D13C5E"/>
    <w:rsid w:val="00D2539A"/>
    <w:rsid w:val="00D45471"/>
    <w:rsid w:val="00D61DFE"/>
    <w:rsid w:val="00DE0E6E"/>
    <w:rsid w:val="00DE25E5"/>
    <w:rsid w:val="00DF2FDF"/>
    <w:rsid w:val="00E40CB8"/>
    <w:rsid w:val="00E53F3C"/>
    <w:rsid w:val="00E74842"/>
    <w:rsid w:val="00EA1FAA"/>
    <w:rsid w:val="00EC25A6"/>
    <w:rsid w:val="00EC35DD"/>
    <w:rsid w:val="00EF4878"/>
    <w:rsid w:val="00EF720B"/>
    <w:rsid w:val="00F16542"/>
    <w:rsid w:val="00F230A1"/>
    <w:rsid w:val="00F93E05"/>
    <w:rsid w:val="00FB05D1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EF3F"/>
  <w15:docId w15:val="{3826A080-677B-45C0-89B2-B4794BF5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9" w:line="339" w:lineRule="auto"/>
      <w:ind w:left="10" w:right="96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17"/>
      <w:ind w:left="10" w:right="9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1B29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B29F5"/>
    <w:pPr>
      <w:ind w:left="720" w:right="67"/>
      <w:contextualSpacing/>
    </w:pPr>
  </w:style>
  <w:style w:type="paragraph" w:styleId="Revize">
    <w:name w:val="Revision"/>
    <w:hidden/>
    <w:uiPriority w:val="99"/>
    <w:semiHidden/>
    <w:rsid w:val="00EC35DD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85F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5F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5FC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F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FCE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30bbf-c4ec-4743-a53e-a75e8ee0a24b">
      <Terms xmlns="http://schemas.microsoft.com/office/infopath/2007/PartnerControls"/>
    </lcf76f155ced4ddcb4097134ff3c332f>
    <TaxCatchAll xmlns="7a0ba8dd-8c1e-417a-b825-44272f28b8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8910C348114586A92AACC8CD6E9E" ma:contentTypeVersion="14" ma:contentTypeDescription="Vytvoří nový dokument" ma:contentTypeScope="" ma:versionID="95616c598a0c374d3a2aec2fcaff33ac">
  <xsd:schema xmlns:xsd="http://www.w3.org/2001/XMLSchema" xmlns:xs="http://www.w3.org/2001/XMLSchema" xmlns:p="http://schemas.microsoft.com/office/2006/metadata/properties" xmlns:ns2="5f430bbf-c4ec-4743-a53e-a75e8ee0a24b" xmlns:ns3="7a0ba8dd-8c1e-417a-b825-44272f28b8cc" targetNamespace="http://schemas.microsoft.com/office/2006/metadata/properties" ma:root="true" ma:fieldsID="dec8c5b1e8c48ae385d4ce3479ae5291" ns2:_="" ns3:_="">
    <xsd:import namespace="5f430bbf-c4ec-4743-a53e-a75e8ee0a24b"/>
    <xsd:import namespace="7a0ba8dd-8c1e-417a-b825-44272f28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0bbf-c4ec-4743-a53e-a75e8ee0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9bb10b4c-cb08-4642-98b4-629b96534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ba8dd-8c1e-417a-b825-44272f28b8c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275f1f2-010c-4254-a46c-d8297dd0ee3b}" ma:internalName="TaxCatchAll" ma:showField="CatchAllData" ma:web="7a0ba8dd-8c1e-417a-b825-44272f28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C1945-AC15-4C12-B380-C8C2912F17E3}">
  <ds:schemaRefs>
    <ds:schemaRef ds:uri="http://schemas.microsoft.com/office/2006/metadata/properties"/>
    <ds:schemaRef ds:uri="http://schemas.microsoft.com/office/infopath/2007/PartnerControls"/>
    <ds:schemaRef ds:uri="5f430bbf-c4ec-4743-a53e-a75e8ee0a24b"/>
    <ds:schemaRef ds:uri="7a0ba8dd-8c1e-417a-b825-44272f28b8cc"/>
  </ds:schemaRefs>
</ds:datastoreItem>
</file>

<file path=customXml/itemProps2.xml><?xml version="1.0" encoding="utf-8"?>
<ds:datastoreItem xmlns:ds="http://schemas.openxmlformats.org/officeDocument/2006/customXml" ds:itemID="{CD3BC66F-10B5-344D-B557-C621F76CF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8B7DF4-4977-4AF9-975D-00F2B3389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30bbf-c4ec-4743-a53e-a75e8ee0a24b"/>
    <ds:schemaRef ds:uri="7a0ba8dd-8c1e-417a-b825-44272f28b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C61B5-B927-4B28-9485-EEDC700A4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1836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Č.j. 41 - S16/97                                                                            V Praze dne 14.5.l997</vt:lpstr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Č.j. 41 - S16/97                                                                            V Praze dne 14.5.l997</dc:title>
  <dc:subject/>
  <dc:creator>Agent 007</dc:creator>
  <cp:keywords/>
  <cp:lastModifiedBy>Kateřina Mátlová</cp:lastModifiedBy>
  <cp:revision>8</cp:revision>
  <cp:lastPrinted>2023-02-17T08:25:00Z</cp:lastPrinted>
  <dcterms:created xsi:type="dcterms:W3CDTF">2024-11-01T14:28:00Z</dcterms:created>
  <dcterms:modified xsi:type="dcterms:W3CDTF">2024-12-18T08:15:00Z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0x010100FC608910C348114586A92AACC8CD6E9E</vt:lpwstr>
  </property>
  <property fmtid="{D5CDD505-2E9C-101B-9397-08002B2CF9AE}" pid="3" name="MediaServiceImageTags">
    <vt:lpwstr/>
  </property>
</Properties>
</file>