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B6D" w:rsidRDefault="00C9466C">
      <w:p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2" w:hanging="4"/>
        <w:jc w:val="center"/>
        <w:rPr>
          <w:color w:val="000000"/>
        </w:rPr>
      </w:pPr>
      <w:r>
        <w:rPr>
          <w:rFonts w:ascii="Twentieth Century" w:eastAsia="Twentieth Century" w:hAnsi="Twentieth Century" w:cs="Twentieth Century"/>
          <w:b/>
          <w:color w:val="000000"/>
          <w:sz w:val="40"/>
          <w:szCs w:val="40"/>
        </w:rPr>
        <w:t>Smlouva o dílo</w: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-317499</wp:posOffset>
                </wp:positionV>
                <wp:extent cx="1857375" cy="44704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22075" y="3561243"/>
                          <a:ext cx="1847850" cy="43751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73B6D" w:rsidRDefault="00C9466C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Liberation Serif" w:eastAsia="Liberation Serif" w:hAnsi="Liberation Serif" w:cs="Liberation Serif"/>
                                <w:color w:val="000000"/>
                                <w:sz w:val="22"/>
                              </w:rPr>
                              <w:t xml:space="preserve">č. </w:t>
                            </w:r>
                            <w:proofErr w:type="spellStart"/>
                            <w:r>
                              <w:rPr>
                                <w:rFonts w:ascii="Liberation Serif" w:eastAsia="Liberation Serif" w:hAnsi="Liberation Serif" w:cs="Liberation Serif"/>
                                <w:color w:val="000000"/>
                                <w:sz w:val="22"/>
                              </w:rPr>
                              <w:t>sml</w:t>
                            </w:r>
                            <w:proofErr w:type="spellEnd"/>
                            <w:r>
                              <w:rPr>
                                <w:rFonts w:ascii="Liberation Serif" w:eastAsia="Liberation Serif" w:hAnsi="Liberation Serif" w:cs="Liberation Serif"/>
                                <w:color w:val="000000"/>
                                <w:sz w:val="22"/>
                              </w:rPr>
                              <w:t xml:space="preserve">. </w:t>
                            </w:r>
                            <w:r w:rsidR="0044089B" w:rsidRPr="0044089B">
                              <w:rPr>
                                <w:rFonts w:ascii="Liberation Serif" w:eastAsia="Liberation Serif" w:hAnsi="Liberation Serif" w:cs="Liberation Serif"/>
                                <w:color w:val="000000"/>
                                <w:sz w:val="22"/>
                              </w:rPr>
                              <w:t>449</w:t>
                            </w:r>
                            <w:r w:rsidRPr="0044089B">
                              <w:rPr>
                                <w:rFonts w:ascii="Liberation Serif" w:eastAsia="Liberation Serif" w:hAnsi="Liberation Serif" w:cs="Liberation Serif"/>
                                <w:color w:val="000000"/>
                                <w:sz w:val="22"/>
                              </w:rPr>
                              <w:t>/202</w:t>
                            </w:r>
                            <w:r w:rsidR="0044089B" w:rsidRPr="0044089B">
                              <w:rPr>
                                <w:rFonts w:ascii="Liberation Serif" w:eastAsia="Liberation Serif" w:hAnsi="Liberation Serif" w:cs="Liberation Serif"/>
                                <w:color w:val="000000"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ascii="Liberation Serif" w:eastAsia="Liberation Serif" w:hAnsi="Liberation Serif" w:cs="Liberation Serif"/>
                                <w:color w:val="000000"/>
                                <w:sz w:val="22"/>
                              </w:rPr>
                              <w:t>/HMT/HO/DKRVO</w:t>
                            </w:r>
                          </w:p>
                          <w:p w:rsidR="00E73B6D" w:rsidRDefault="00E73B6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left:0;text-align:left;margin-left:345pt;margin-top:-25pt;width:146.25pt;height:35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" fill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E73B6D" w:rsidRDefault="00C9466C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Liberation Serif" w:eastAsia="Liberation Serif" w:hAnsi="Liberation Serif" w:cs="Liberation Serif"/>
                          <w:color w:val="000000"/>
                          <w:sz w:val="22"/>
                        </w:rPr>
                        <w:t xml:space="preserve">č. </w:t>
                      </w:r>
                      <w:proofErr w:type="spellStart"/>
                      <w:r>
                        <w:rPr>
                          <w:rFonts w:ascii="Liberation Serif" w:eastAsia="Liberation Serif" w:hAnsi="Liberation Serif" w:cs="Liberation Serif"/>
                          <w:color w:val="000000"/>
                          <w:sz w:val="22"/>
                        </w:rPr>
                        <w:t>sml</w:t>
                      </w:r>
                      <w:proofErr w:type="spellEnd"/>
                      <w:r>
                        <w:rPr>
                          <w:rFonts w:ascii="Liberation Serif" w:eastAsia="Liberation Serif" w:hAnsi="Liberation Serif" w:cs="Liberation Serif"/>
                          <w:color w:val="000000"/>
                          <w:sz w:val="22"/>
                        </w:rPr>
                        <w:t xml:space="preserve">. </w:t>
                      </w:r>
                      <w:r w:rsidR="0044089B" w:rsidRPr="0044089B">
                        <w:rPr>
                          <w:rFonts w:ascii="Liberation Serif" w:eastAsia="Liberation Serif" w:hAnsi="Liberation Serif" w:cs="Liberation Serif"/>
                          <w:color w:val="000000"/>
                          <w:sz w:val="22"/>
                        </w:rPr>
                        <w:t>449</w:t>
                      </w:r>
                      <w:r w:rsidRPr="0044089B">
                        <w:rPr>
                          <w:rFonts w:ascii="Liberation Serif" w:eastAsia="Liberation Serif" w:hAnsi="Liberation Serif" w:cs="Liberation Serif"/>
                          <w:color w:val="000000"/>
                          <w:sz w:val="22"/>
                        </w:rPr>
                        <w:t>/202</w:t>
                      </w:r>
                      <w:r w:rsidR="0044089B" w:rsidRPr="0044089B">
                        <w:rPr>
                          <w:rFonts w:ascii="Liberation Serif" w:eastAsia="Liberation Serif" w:hAnsi="Liberation Serif" w:cs="Liberation Serif"/>
                          <w:color w:val="000000"/>
                          <w:sz w:val="22"/>
                        </w:rPr>
                        <w:t>4</w:t>
                      </w:r>
                      <w:r>
                        <w:rPr>
                          <w:rFonts w:ascii="Liberation Serif" w:eastAsia="Liberation Serif" w:hAnsi="Liberation Serif" w:cs="Liberation Serif"/>
                          <w:color w:val="000000"/>
                          <w:sz w:val="22"/>
                        </w:rPr>
                        <w:t>/HMT/HO/DKRVO</w:t>
                      </w:r>
                    </w:p>
                    <w:p w:rsidR="00E73B6D" w:rsidRDefault="00E73B6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E73B6D" w:rsidRDefault="00C9466C">
      <w:p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0" w:hanging="2"/>
        <w:jc w:val="center"/>
        <w:rPr>
          <w:color w:val="000000"/>
        </w:rPr>
      </w:pPr>
      <w:r>
        <w:rPr>
          <w:rFonts w:ascii="Twentieth Century" w:eastAsia="Twentieth Century" w:hAnsi="Twentieth Century" w:cs="Twentieth Century"/>
          <w:i/>
          <w:color w:val="000000"/>
          <w:sz w:val="22"/>
          <w:szCs w:val="22"/>
        </w:rPr>
        <w:t>uzavřena ve smyslu příslušných ustanovení zákona č. 89/2012 Sb., občanský zákoník,</w:t>
      </w:r>
    </w:p>
    <w:p w:rsidR="00E73B6D" w:rsidRDefault="00C9466C">
      <w:p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0" w:hanging="2"/>
        <w:jc w:val="center"/>
        <w:rPr>
          <w:color w:val="000000"/>
        </w:rPr>
      </w:pPr>
      <w:r>
        <w:rPr>
          <w:rFonts w:ascii="Twentieth Century" w:eastAsia="Twentieth Century" w:hAnsi="Twentieth Century" w:cs="Twentieth Century"/>
          <w:i/>
          <w:color w:val="000000"/>
          <w:sz w:val="22"/>
          <w:szCs w:val="22"/>
        </w:rPr>
        <w:t>ve znění pozdějších předpisů</w:t>
      </w:r>
    </w:p>
    <w:p w:rsidR="00E73B6D" w:rsidRDefault="00E73B6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before="340" w:after="170" w:line="240" w:lineRule="auto"/>
        <w:ind w:left="0" w:hanging="2"/>
        <w:jc w:val="center"/>
        <w:rPr>
          <w:rFonts w:ascii="Twentieth Century" w:eastAsia="Twentieth Century" w:hAnsi="Twentieth Century" w:cs="Twentieth Century"/>
          <w:color w:val="000000"/>
        </w:rPr>
      </w:pPr>
    </w:p>
    <w:p w:rsidR="00E73B6D" w:rsidRDefault="00C9466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before="340" w:after="170" w:line="240" w:lineRule="auto"/>
        <w:ind w:left="0" w:hanging="2"/>
        <w:jc w:val="center"/>
        <w:rPr>
          <w:color w:val="000000"/>
        </w:rPr>
      </w:pPr>
      <w:r>
        <w:rPr>
          <w:rFonts w:ascii="Twentieth Century" w:eastAsia="Twentieth Century" w:hAnsi="Twentieth Century" w:cs="Twentieth Century"/>
          <w:b/>
          <w:color w:val="000000"/>
        </w:rPr>
        <w:t>I. Smluvní strany:</w:t>
      </w:r>
    </w:p>
    <w:p w:rsidR="00E73B6D" w:rsidRDefault="00C9466C">
      <w:p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0" w:hanging="2"/>
        <w:rPr>
          <w:color w:val="000000"/>
        </w:rPr>
      </w:pPr>
      <w:r>
        <w:rPr>
          <w:rFonts w:ascii="Twentieth Century" w:eastAsia="Twentieth Century" w:hAnsi="Twentieth Century" w:cs="Twentieth Century"/>
          <w:b/>
          <w:color w:val="000000"/>
        </w:rPr>
        <w:t>Husitské muzeum v Táboře</w:t>
      </w:r>
      <w:r>
        <w:rPr>
          <w:rFonts w:ascii="Twentieth Century" w:eastAsia="Twentieth Century" w:hAnsi="Twentieth Century" w:cs="Twentieth Century"/>
          <w:b/>
          <w:color w:val="000000"/>
        </w:rPr>
        <w:br/>
      </w:r>
      <w:r>
        <w:rPr>
          <w:rFonts w:ascii="Twentieth Century" w:eastAsia="Twentieth Century" w:hAnsi="Twentieth Century" w:cs="Twentieth Century"/>
          <w:color w:val="000000"/>
        </w:rPr>
        <w:t>náměstí Mikuláše z Husi 44, 390 01 Tábor</w:t>
      </w:r>
    </w:p>
    <w:p w:rsidR="00E73B6D" w:rsidRDefault="00C9466C">
      <w:p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0" w:hanging="2"/>
        <w:rPr>
          <w:color w:val="000000"/>
        </w:rPr>
      </w:pPr>
      <w:r>
        <w:rPr>
          <w:rFonts w:ascii="Twentieth Century" w:eastAsia="Twentieth Century" w:hAnsi="Twentieth Century" w:cs="Twentieth Century"/>
          <w:color w:val="000000"/>
        </w:rPr>
        <w:t>IČO: 00072486, DIČ: CZ00072486,</w:t>
      </w:r>
      <w:r>
        <w:rPr>
          <w:rFonts w:ascii="Twentieth Century" w:eastAsia="Twentieth Century" w:hAnsi="Twentieth Century" w:cs="Twentieth Century"/>
          <w:color w:val="000000"/>
        </w:rPr>
        <w:br/>
        <w:t>které</w:t>
      </w:r>
      <w:r>
        <w:rPr>
          <w:rFonts w:ascii="Twentieth Century" w:eastAsia="Twentieth Century" w:hAnsi="Twentieth Century" w:cs="Twentieth Century"/>
          <w:b/>
          <w:color w:val="000000"/>
        </w:rPr>
        <w:t xml:space="preserve"> </w:t>
      </w:r>
      <w:r>
        <w:rPr>
          <w:rFonts w:ascii="Twentieth Century" w:eastAsia="Twentieth Century" w:hAnsi="Twentieth Century" w:cs="Twentieth Century"/>
          <w:color w:val="000000"/>
        </w:rPr>
        <w:t>zastupuje:</w:t>
      </w:r>
      <w:r>
        <w:rPr>
          <w:rFonts w:ascii="Twentieth Century" w:eastAsia="Twentieth Century" w:hAnsi="Twentieth Century" w:cs="Twentieth Century"/>
          <w:color w:val="000000"/>
        </w:rPr>
        <w:tab/>
        <w:t xml:space="preserve">Mgr. Jakub Smrčka, </w:t>
      </w:r>
      <w:proofErr w:type="spellStart"/>
      <w:r>
        <w:rPr>
          <w:rFonts w:ascii="Twentieth Century" w:eastAsia="Twentieth Century" w:hAnsi="Twentieth Century" w:cs="Twentieth Century"/>
          <w:color w:val="000000"/>
        </w:rPr>
        <w:t>Th.D</w:t>
      </w:r>
      <w:proofErr w:type="spellEnd"/>
      <w:r>
        <w:rPr>
          <w:rFonts w:ascii="Twentieth Century" w:eastAsia="Twentieth Century" w:hAnsi="Twentieth Century" w:cs="Twentieth Century"/>
          <w:color w:val="000000"/>
        </w:rPr>
        <w:t>., ředitel</w:t>
      </w:r>
    </w:p>
    <w:p w:rsidR="00E73B6D" w:rsidRDefault="00E73B6D">
      <w:p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0" w:hanging="2"/>
        <w:rPr>
          <w:rFonts w:ascii="Twentieth Century" w:eastAsia="Twentieth Century" w:hAnsi="Twentieth Century" w:cs="Twentieth Century"/>
          <w:color w:val="000000"/>
          <w:highlight w:val="yellow"/>
        </w:rPr>
      </w:pPr>
    </w:p>
    <w:p w:rsidR="00E73B6D" w:rsidRDefault="00C9466C">
      <w:p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0" w:hanging="2"/>
        <w:rPr>
          <w:rFonts w:ascii="Twentieth Century" w:eastAsia="Twentieth Century" w:hAnsi="Twentieth Century" w:cs="Twentieth Century"/>
          <w:color w:val="000000"/>
        </w:rPr>
      </w:pPr>
      <w:r>
        <w:rPr>
          <w:rFonts w:ascii="Twentieth Century" w:eastAsia="Twentieth Century" w:hAnsi="Twentieth Century" w:cs="Twentieth Century"/>
          <w:color w:val="000000"/>
        </w:rPr>
        <w:t xml:space="preserve">dále jen </w:t>
      </w:r>
      <w:r>
        <w:rPr>
          <w:rFonts w:ascii="Twentieth Century" w:eastAsia="Twentieth Century" w:hAnsi="Twentieth Century" w:cs="Twentieth Century"/>
          <w:b/>
          <w:color w:val="000000"/>
        </w:rPr>
        <w:t>„objednatel“</w:t>
      </w:r>
    </w:p>
    <w:p w:rsidR="00E73B6D" w:rsidRDefault="00E73B6D">
      <w:p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0" w:hanging="2"/>
        <w:rPr>
          <w:color w:val="000000"/>
        </w:rPr>
      </w:pPr>
    </w:p>
    <w:p w:rsidR="00E73B6D" w:rsidRDefault="00C9466C">
      <w:p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0" w:hanging="2"/>
        <w:jc w:val="center"/>
        <w:rPr>
          <w:rFonts w:ascii="Twentieth Century" w:eastAsia="Twentieth Century" w:hAnsi="Twentieth Century" w:cs="Twentieth Century"/>
          <w:color w:val="000000"/>
        </w:rPr>
      </w:pPr>
      <w:r>
        <w:rPr>
          <w:rFonts w:ascii="Twentieth Century" w:eastAsia="Twentieth Century" w:hAnsi="Twentieth Century" w:cs="Twentieth Century"/>
          <w:color w:val="000000"/>
        </w:rPr>
        <w:t>a</w:t>
      </w:r>
    </w:p>
    <w:p w:rsidR="00E73B6D" w:rsidRDefault="00E73B6D">
      <w:p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0" w:hanging="2"/>
        <w:jc w:val="center"/>
        <w:rPr>
          <w:color w:val="000000"/>
        </w:rPr>
      </w:pPr>
    </w:p>
    <w:p w:rsidR="00E73B6D" w:rsidRDefault="00C9466C">
      <w:p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0" w:hanging="2"/>
        <w:rPr>
          <w:color w:val="000000"/>
        </w:rPr>
      </w:pPr>
      <w:proofErr w:type="spellStart"/>
      <w:r>
        <w:rPr>
          <w:rFonts w:ascii="Twentieth Century" w:eastAsia="Twentieth Century" w:hAnsi="Twentieth Century" w:cs="Twentieth Century"/>
          <w:b/>
          <w:color w:val="000000"/>
        </w:rPr>
        <w:t>VivaDesign</w:t>
      </w:r>
      <w:proofErr w:type="spellEnd"/>
      <w:r>
        <w:rPr>
          <w:rFonts w:ascii="Twentieth Century" w:eastAsia="Twentieth Century" w:hAnsi="Twentieth Century" w:cs="Twentieth Century"/>
          <w:b/>
          <w:color w:val="000000"/>
        </w:rPr>
        <w:t xml:space="preserve"> s.r.o.</w:t>
      </w:r>
      <w:r>
        <w:rPr>
          <w:rFonts w:ascii="Twentieth Century" w:eastAsia="Twentieth Century" w:hAnsi="Twentieth Century" w:cs="Twentieth Century"/>
          <w:b/>
          <w:color w:val="000000"/>
        </w:rPr>
        <w:br/>
      </w:r>
      <w:r>
        <w:rPr>
          <w:rFonts w:ascii="Twentieth Century" w:eastAsia="Twentieth Century" w:hAnsi="Twentieth Century" w:cs="Twentieth Century"/>
          <w:color w:val="000000"/>
        </w:rPr>
        <w:t>Pražská 232, 390 01 Tábor</w:t>
      </w:r>
    </w:p>
    <w:p w:rsidR="00E73B6D" w:rsidRDefault="00C946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inherit" w:eastAsia="inherit" w:hAnsi="inherit" w:cs="inherit"/>
          <w:color w:val="000000"/>
          <w:sz w:val="23"/>
          <w:szCs w:val="23"/>
        </w:rPr>
      </w:pPr>
      <w:r>
        <w:rPr>
          <w:rFonts w:ascii="Twentieth Century" w:eastAsia="Twentieth Century" w:hAnsi="Twentieth Century" w:cs="Twentieth Century"/>
          <w:color w:val="000000"/>
        </w:rPr>
        <w:t>IČO: 28096827</w:t>
      </w:r>
    </w:p>
    <w:p w:rsidR="00E73B6D" w:rsidRDefault="00E73B6D">
      <w:p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0" w:hanging="2"/>
        <w:rPr>
          <w:color w:val="000000"/>
        </w:rPr>
      </w:pPr>
    </w:p>
    <w:p w:rsidR="00E73B6D" w:rsidRDefault="00E73B6D">
      <w:p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0" w:hanging="2"/>
        <w:jc w:val="center"/>
        <w:rPr>
          <w:rFonts w:ascii="Twentieth Century" w:eastAsia="Twentieth Century" w:hAnsi="Twentieth Century" w:cs="Twentieth Century"/>
          <w:color w:val="000000"/>
        </w:rPr>
      </w:pPr>
    </w:p>
    <w:p w:rsidR="00E73B6D" w:rsidRDefault="00C9466C">
      <w:p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0" w:hanging="2"/>
        <w:rPr>
          <w:color w:val="000000"/>
        </w:rPr>
      </w:pPr>
      <w:r>
        <w:rPr>
          <w:rFonts w:ascii="Twentieth Century" w:eastAsia="Twentieth Century" w:hAnsi="Twentieth Century" w:cs="Twentieth Century"/>
          <w:color w:val="000000"/>
        </w:rPr>
        <w:t>dále jen</w:t>
      </w:r>
      <w:r>
        <w:rPr>
          <w:rFonts w:ascii="Twentieth Century" w:eastAsia="Twentieth Century" w:hAnsi="Twentieth Century" w:cs="Twentieth Century"/>
          <w:b/>
          <w:color w:val="000000"/>
        </w:rPr>
        <w:t xml:space="preserve"> „zhotovitel“</w:t>
      </w:r>
    </w:p>
    <w:p w:rsidR="00E73B6D" w:rsidRDefault="00E73B6D">
      <w:p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0" w:hanging="2"/>
        <w:jc w:val="center"/>
        <w:rPr>
          <w:rFonts w:ascii="Twentieth Century" w:eastAsia="Twentieth Century" w:hAnsi="Twentieth Century" w:cs="Twentieth Century"/>
          <w:color w:val="000000"/>
        </w:rPr>
      </w:pPr>
    </w:p>
    <w:p w:rsidR="00E73B6D" w:rsidRDefault="00C9466C">
      <w:p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0" w:hanging="2"/>
        <w:jc w:val="center"/>
        <w:rPr>
          <w:rFonts w:ascii="Twentieth Century" w:eastAsia="Twentieth Century" w:hAnsi="Twentieth Century" w:cs="Twentieth Century"/>
          <w:color w:val="000000"/>
        </w:rPr>
      </w:pPr>
      <w:r>
        <w:rPr>
          <w:rFonts w:ascii="Twentieth Century" w:eastAsia="Twentieth Century" w:hAnsi="Twentieth Century" w:cs="Twentieth Century"/>
          <w:color w:val="000000"/>
        </w:rPr>
        <w:t xml:space="preserve">uzavírají na základě vzájemné shody tuto </w:t>
      </w:r>
      <w:r>
        <w:rPr>
          <w:rFonts w:ascii="Twentieth Century" w:eastAsia="Twentieth Century" w:hAnsi="Twentieth Century" w:cs="Twentieth Century"/>
          <w:b/>
          <w:color w:val="000000"/>
        </w:rPr>
        <w:t>Smlouvu o dílo.</w:t>
      </w:r>
    </w:p>
    <w:p w:rsidR="00E73B6D" w:rsidRDefault="00E73B6D">
      <w:p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0" w:hanging="2"/>
        <w:jc w:val="center"/>
        <w:rPr>
          <w:color w:val="000000"/>
        </w:rPr>
      </w:pPr>
    </w:p>
    <w:p w:rsidR="00E73B6D" w:rsidRDefault="00C9466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before="340" w:after="170" w:line="240" w:lineRule="auto"/>
        <w:ind w:left="0" w:hanging="2"/>
        <w:jc w:val="center"/>
        <w:rPr>
          <w:color w:val="000000"/>
        </w:rPr>
      </w:pPr>
      <w:r>
        <w:rPr>
          <w:rFonts w:ascii="Twentieth Century" w:eastAsia="Twentieth Century" w:hAnsi="Twentieth Century" w:cs="Twentieth Century"/>
          <w:b/>
          <w:color w:val="000000"/>
        </w:rPr>
        <w:t>II. Předmět smlouvy</w:t>
      </w:r>
    </w:p>
    <w:p w:rsidR="00E73B6D" w:rsidRDefault="00C946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0" w:hanging="2"/>
        <w:jc w:val="both"/>
        <w:rPr>
          <w:color w:val="000000"/>
        </w:rPr>
      </w:pPr>
      <w:r>
        <w:rPr>
          <w:rFonts w:ascii="Twentieth Century" w:eastAsia="Twentieth Century" w:hAnsi="Twentieth Century" w:cs="Twentieth Century"/>
          <w:color w:val="000000"/>
        </w:rPr>
        <w:t xml:space="preserve">Předmětem této smlouvy je výroba a dodání publikace </w:t>
      </w:r>
      <w:r>
        <w:rPr>
          <w:rFonts w:ascii="Twentieth Century" w:eastAsia="Twentieth Century" w:hAnsi="Twentieth Century" w:cs="Twentieth Century"/>
          <w:b/>
          <w:color w:val="000000"/>
        </w:rPr>
        <w:t>„doprovodná publikace k výstavě Jan Žižka 600 let“</w:t>
      </w:r>
      <w:r>
        <w:rPr>
          <w:rFonts w:ascii="Twentieth Century" w:eastAsia="Twentieth Century" w:hAnsi="Twentieth Century" w:cs="Twentieth Century"/>
          <w:color w:val="000000"/>
        </w:rPr>
        <w:t xml:space="preserve"> (dále jen díla) včetně knihařského zpracování dle níže uvedené specifikace, v nákladu </w:t>
      </w:r>
      <w:r>
        <w:rPr>
          <w:rFonts w:ascii="Twentieth Century" w:eastAsia="Twentieth Century" w:hAnsi="Twentieth Century" w:cs="Twentieth Century"/>
          <w:b/>
          <w:color w:val="000000"/>
        </w:rPr>
        <w:t>500 ks</w:t>
      </w:r>
      <w:r>
        <w:rPr>
          <w:rFonts w:ascii="Twentieth Century" w:eastAsia="Twentieth Century" w:hAnsi="Twentieth Century" w:cs="Twentieth Century"/>
          <w:color w:val="000000"/>
        </w:rPr>
        <w:t xml:space="preserve"> a s dodáním na adresu v Táboře uvedenou objednatelem v termínu dle dohody objednatele se zhotovitelem.</w:t>
      </w:r>
    </w:p>
    <w:p w:rsidR="00E73B6D" w:rsidRDefault="00C946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0" w:hanging="2"/>
        <w:jc w:val="both"/>
        <w:rPr>
          <w:color w:val="000000"/>
        </w:rPr>
      </w:pPr>
      <w:r>
        <w:rPr>
          <w:rFonts w:ascii="Twentieth Century" w:eastAsia="Twentieth Century" w:hAnsi="Twentieth Century" w:cs="Twentieth Century"/>
          <w:color w:val="000000"/>
        </w:rPr>
        <w:t>Specifikace:</w:t>
      </w:r>
    </w:p>
    <w:p w:rsidR="00E73B6D" w:rsidRDefault="00C9466C">
      <w:p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0" w:hanging="2"/>
        <w:jc w:val="both"/>
        <w:rPr>
          <w:rFonts w:ascii="Twentieth Century" w:eastAsia="Twentieth Century" w:hAnsi="Twentieth Century" w:cs="Twentieth Century"/>
          <w:highlight w:val="white"/>
        </w:rPr>
      </w:pPr>
      <w:r>
        <w:rPr>
          <w:rFonts w:ascii="Twentieth Century" w:eastAsia="Twentieth Century" w:hAnsi="Twentieth Century" w:cs="Twentieth Century"/>
          <w:highlight w:val="white"/>
        </w:rPr>
        <w:t>Celobarevný tisk 4/4</w:t>
      </w:r>
    </w:p>
    <w:p w:rsidR="00E73B6D" w:rsidRDefault="00C9466C">
      <w:p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0" w:hanging="2"/>
        <w:jc w:val="both"/>
        <w:rPr>
          <w:rFonts w:ascii="Twentieth Century" w:eastAsia="Twentieth Century" w:hAnsi="Twentieth Century" w:cs="Twentieth Century"/>
          <w:highlight w:val="white"/>
        </w:rPr>
      </w:pPr>
      <w:r>
        <w:rPr>
          <w:rFonts w:ascii="Twentieth Century" w:eastAsia="Twentieth Century" w:hAnsi="Twentieth Century" w:cs="Twentieth Century"/>
          <w:highlight w:val="white"/>
        </w:rPr>
        <w:t>Pevná vazba V4</w:t>
      </w:r>
    </w:p>
    <w:p w:rsidR="00E73B6D" w:rsidRDefault="00C9466C">
      <w:p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0" w:hanging="2"/>
        <w:jc w:val="both"/>
        <w:rPr>
          <w:rFonts w:ascii="Twentieth Century" w:eastAsia="Twentieth Century" w:hAnsi="Twentieth Century" w:cs="Twentieth Century"/>
          <w:highlight w:val="white"/>
          <w:vertAlign w:val="superscript"/>
        </w:rPr>
      </w:pPr>
      <w:r>
        <w:rPr>
          <w:rFonts w:ascii="Twentieth Century" w:eastAsia="Twentieth Century" w:hAnsi="Twentieth Century" w:cs="Twentieth Century"/>
          <w:highlight w:val="white"/>
        </w:rPr>
        <w:t>Papír vnitřního bloku: 220x280 mm,</w:t>
      </w:r>
      <w:r>
        <w:rPr>
          <w:sz w:val="21"/>
          <w:szCs w:val="21"/>
          <w:highlight w:val="white"/>
        </w:rPr>
        <w:t xml:space="preserve"> </w:t>
      </w:r>
      <w:r>
        <w:rPr>
          <w:rFonts w:ascii="Twentieth Century" w:eastAsia="Twentieth Century" w:hAnsi="Twentieth Century" w:cs="Twentieth Century"/>
          <w:highlight w:val="white"/>
        </w:rPr>
        <w:t>bezdřevý ofset, gramáž 140 g/m</w:t>
      </w:r>
      <w:r>
        <w:rPr>
          <w:rFonts w:ascii="Twentieth Century" w:eastAsia="Twentieth Century" w:hAnsi="Twentieth Century" w:cs="Twentieth Century"/>
          <w:highlight w:val="white"/>
          <w:vertAlign w:val="superscript"/>
        </w:rPr>
        <w:t>2</w:t>
      </w:r>
    </w:p>
    <w:p w:rsidR="00E73B6D" w:rsidRDefault="00C9466C">
      <w:p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0" w:hanging="2"/>
        <w:jc w:val="both"/>
        <w:rPr>
          <w:rFonts w:ascii="Twentieth Century" w:eastAsia="Twentieth Century" w:hAnsi="Twentieth Century" w:cs="Twentieth Century"/>
          <w:highlight w:val="white"/>
        </w:rPr>
      </w:pPr>
      <w:r>
        <w:rPr>
          <w:rFonts w:ascii="Twentieth Century" w:eastAsia="Twentieth Century" w:hAnsi="Twentieth Century" w:cs="Twentieth Century"/>
          <w:highlight w:val="white"/>
        </w:rPr>
        <w:t xml:space="preserve">Počet stran: </w:t>
      </w:r>
      <w:r>
        <w:rPr>
          <w:rFonts w:ascii="Twentieth Century" w:eastAsia="Twentieth Century" w:hAnsi="Twentieth Century" w:cs="Twentieth Century"/>
          <w:highlight w:val="white"/>
        </w:rPr>
        <w:t>304</w:t>
      </w:r>
    </w:p>
    <w:p w:rsidR="00E73B6D" w:rsidRDefault="00C9466C">
      <w:p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0" w:hanging="2"/>
        <w:jc w:val="both"/>
        <w:rPr>
          <w:rFonts w:ascii="Twentieth Century" w:eastAsia="Twentieth Century" w:hAnsi="Twentieth Century" w:cs="Twentieth Century"/>
          <w:highlight w:val="white"/>
        </w:rPr>
      </w:pPr>
      <w:r>
        <w:rPr>
          <w:rFonts w:ascii="Twentieth Century" w:eastAsia="Twentieth Century" w:hAnsi="Twentieth Century" w:cs="Twentieth Century"/>
          <w:highlight w:val="white"/>
        </w:rPr>
        <w:t>Obálka</w:t>
      </w:r>
      <w:r>
        <w:rPr>
          <w:rFonts w:ascii="Helvetica Neue" w:eastAsia="Helvetica Neue" w:hAnsi="Helvetica Neue" w:cs="Helvetica Neue"/>
          <w:sz w:val="22"/>
          <w:szCs w:val="22"/>
          <w:highlight w:val="white"/>
        </w:rPr>
        <w:t xml:space="preserve">: </w:t>
      </w:r>
      <w:r>
        <w:rPr>
          <w:rFonts w:ascii="Twentieth Century" w:eastAsia="Twentieth Century" w:hAnsi="Twentieth Century" w:cs="Twentieth Century"/>
          <w:highlight w:val="white"/>
        </w:rPr>
        <w:t>pro vazbu V4 s lesklou laminací a  křídovým materiálem 350g s klopami 80 mm, 4/4</w:t>
      </w:r>
    </w:p>
    <w:p w:rsidR="00E73B6D" w:rsidRDefault="00E73B6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before="340" w:after="170" w:line="240" w:lineRule="auto"/>
        <w:ind w:left="0" w:hanging="2"/>
        <w:jc w:val="center"/>
        <w:rPr>
          <w:rFonts w:ascii="Twentieth Century" w:eastAsia="Twentieth Century" w:hAnsi="Twentieth Century" w:cs="Twentieth Century"/>
          <w:highlight w:val="white"/>
        </w:rPr>
      </w:pPr>
    </w:p>
    <w:p w:rsidR="00E73B6D" w:rsidRDefault="00C9466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before="340" w:after="170" w:line="240" w:lineRule="auto"/>
        <w:ind w:left="0" w:hanging="2"/>
        <w:jc w:val="center"/>
        <w:rPr>
          <w:color w:val="000000"/>
        </w:rPr>
      </w:pPr>
      <w:r>
        <w:rPr>
          <w:rFonts w:ascii="Twentieth Century" w:eastAsia="Twentieth Century" w:hAnsi="Twentieth Century" w:cs="Twentieth Century"/>
          <w:b/>
          <w:color w:val="000000"/>
        </w:rPr>
        <w:t>III. Termín plnění</w:t>
      </w:r>
    </w:p>
    <w:p w:rsidR="00E73B6D" w:rsidRDefault="00C946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0" w:hanging="2"/>
        <w:jc w:val="both"/>
        <w:rPr>
          <w:color w:val="000000"/>
        </w:rPr>
      </w:pPr>
      <w:r>
        <w:rPr>
          <w:rFonts w:ascii="Twentieth Century" w:eastAsia="Twentieth Century" w:hAnsi="Twentieth Century" w:cs="Twentieth Century"/>
          <w:color w:val="000000"/>
        </w:rPr>
        <w:t>Termín dokončení díla je do 31. 12. 2024</w:t>
      </w:r>
    </w:p>
    <w:p w:rsidR="00E73B6D" w:rsidRDefault="00E73B6D">
      <w:p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0" w:hanging="2"/>
        <w:jc w:val="both"/>
        <w:rPr>
          <w:color w:val="000000"/>
        </w:rPr>
      </w:pPr>
    </w:p>
    <w:p w:rsidR="00E73B6D" w:rsidRDefault="00C9466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before="340" w:after="170" w:line="240" w:lineRule="auto"/>
        <w:ind w:left="0" w:hanging="2"/>
        <w:jc w:val="center"/>
        <w:rPr>
          <w:color w:val="000000"/>
        </w:rPr>
      </w:pPr>
      <w:r>
        <w:rPr>
          <w:rFonts w:ascii="Twentieth Century" w:eastAsia="Twentieth Century" w:hAnsi="Twentieth Century" w:cs="Twentieth Century"/>
          <w:b/>
          <w:color w:val="000000"/>
        </w:rPr>
        <w:lastRenderedPageBreak/>
        <w:t>IV. Cena za dílo a platební podmínky</w:t>
      </w:r>
    </w:p>
    <w:p w:rsidR="00E73B6D" w:rsidRDefault="00C946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0" w:hanging="2"/>
        <w:jc w:val="both"/>
        <w:rPr>
          <w:color w:val="000000"/>
        </w:rPr>
      </w:pPr>
      <w:r>
        <w:rPr>
          <w:rFonts w:ascii="Twentieth Century" w:eastAsia="Twentieth Century" w:hAnsi="Twentieth Century" w:cs="Twentieth Century"/>
          <w:color w:val="000000"/>
        </w:rPr>
        <w:t>Cena za provedení díla v rozsahu této smlouvy činí:</w:t>
      </w:r>
    </w:p>
    <w:p w:rsidR="00E73B6D" w:rsidRDefault="00C9466C">
      <w:p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0" w:hanging="2"/>
        <w:rPr>
          <w:rFonts w:ascii="Twentieth Century" w:eastAsia="Twentieth Century" w:hAnsi="Twentieth Century" w:cs="Twentieth Century"/>
          <w:color w:val="000000"/>
        </w:rPr>
      </w:pPr>
      <w:r>
        <w:rPr>
          <w:rFonts w:ascii="Twentieth Century" w:eastAsia="Twentieth Century" w:hAnsi="Twentieth Century" w:cs="Twentieth Century"/>
          <w:color w:val="000000"/>
        </w:rPr>
        <w:t xml:space="preserve">výroba v nákladu 500 ks </w:t>
      </w:r>
      <w:r>
        <w:rPr>
          <w:rFonts w:ascii="Twentieth Century" w:eastAsia="Twentieth Century" w:hAnsi="Twentieth Century" w:cs="Twentieth Century"/>
          <w:b/>
          <w:color w:val="000000"/>
        </w:rPr>
        <w:t>161.300,- Kč</w:t>
      </w:r>
    </w:p>
    <w:p w:rsidR="00E73B6D" w:rsidRDefault="00C9466C">
      <w:p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0" w:hanging="2"/>
        <w:rPr>
          <w:rFonts w:ascii="Twentieth Century" w:eastAsia="Twentieth Century" w:hAnsi="Twentieth Century" w:cs="Twentieth Century"/>
          <w:color w:val="000000"/>
        </w:rPr>
      </w:pPr>
      <w:r>
        <w:rPr>
          <w:rFonts w:ascii="Twentieth Century" w:eastAsia="Twentieth Century" w:hAnsi="Twentieth Century" w:cs="Twentieth Century"/>
          <w:color w:val="000000"/>
        </w:rPr>
        <w:t xml:space="preserve">cena za kus včetně 0 % DPH – </w:t>
      </w:r>
      <w:r>
        <w:rPr>
          <w:rFonts w:ascii="Twentieth Century" w:eastAsia="Twentieth Century" w:hAnsi="Twentieth Century" w:cs="Twentieth Century"/>
          <w:b/>
          <w:color w:val="000000"/>
        </w:rPr>
        <w:t>322,60,-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 </w:t>
      </w:r>
      <w:r>
        <w:rPr>
          <w:rFonts w:ascii="Twentieth Century" w:eastAsia="Twentieth Century" w:hAnsi="Twentieth Century" w:cs="Twentieth Century"/>
          <w:b/>
          <w:color w:val="000000"/>
        </w:rPr>
        <w:t>Kč</w:t>
      </w:r>
    </w:p>
    <w:p w:rsidR="00E73B6D" w:rsidRDefault="00E73B6D">
      <w:p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0" w:hanging="2"/>
        <w:jc w:val="both"/>
        <w:rPr>
          <w:rFonts w:ascii="Twentieth Century" w:eastAsia="Twentieth Century" w:hAnsi="Twentieth Century" w:cs="Twentieth Century"/>
          <w:color w:val="000000"/>
          <w:highlight w:val="yellow"/>
        </w:rPr>
      </w:pPr>
    </w:p>
    <w:p w:rsidR="00E73B6D" w:rsidRDefault="00C9466C">
      <w:p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0" w:hanging="2"/>
        <w:jc w:val="both"/>
        <w:rPr>
          <w:rFonts w:ascii="Twentieth Century" w:eastAsia="Twentieth Century" w:hAnsi="Twentieth Century" w:cs="Twentieth Century"/>
          <w:color w:val="000000"/>
        </w:rPr>
      </w:pPr>
      <w:r>
        <w:rPr>
          <w:rFonts w:ascii="Twentieth Century" w:eastAsia="Twentieth Century" w:hAnsi="Twentieth Century" w:cs="Twentieth Century"/>
          <w:color w:val="000000"/>
        </w:rPr>
        <w:t>Cena zahrnuje výrobu, včetně obálky, a</w:t>
      </w:r>
      <w:r>
        <w:rPr>
          <w:rFonts w:ascii="Twentieth Century" w:eastAsia="Twentieth Century" w:hAnsi="Twentieth Century" w:cs="Twentieth Century"/>
          <w:color w:val="000000"/>
          <w:highlight w:val="white"/>
        </w:rPr>
        <w:t xml:space="preserve"> dodání </w:t>
      </w:r>
      <w:r>
        <w:rPr>
          <w:rFonts w:ascii="Twentieth Century" w:eastAsia="Twentieth Century" w:hAnsi="Twentieth Century" w:cs="Twentieth Century"/>
          <w:color w:val="000000"/>
        </w:rPr>
        <w:t>publikace.</w:t>
      </w:r>
    </w:p>
    <w:p w:rsidR="00E73B6D" w:rsidRDefault="00E73B6D">
      <w:p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0" w:hanging="2"/>
        <w:jc w:val="both"/>
        <w:rPr>
          <w:color w:val="000000"/>
          <w:highlight w:val="yellow"/>
        </w:rPr>
      </w:pPr>
    </w:p>
    <w:p w:rsidR="00E73B6D" w:rsidRDefault="00C946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0" w:hanging="2"/>
        <w:jc w:val="both"/>
        <w:rPr>
          <w:color w:val="000000"/>
        </w:rPr>
      </w:pPr>
      <w:r>
        <w:rPr>
          <w:rFonts w:ascii="Twentieth Century" w:eastAsia="Twentieth Century" w:hAnsi="Twentieth Century" w:cs="Twentieth Century"/>
          <w:color w:val="000000"/>
        </w:rPr>
        <w:t>Objednatel nebude poskytovat zálohy. Úhrada za dílo bude provedena převodem na účet zhotovitele na základě vystavené faktury po předání zhotove</w:t>
      </w:r>
      <w:r>
        <w:rPr>
          <w:rFonts w:ascii="Twentieth Century" w:eastAsia="Twentieth Century" w:hAnsi="Twentieth Century" w:cs="Twentieth Century"/>
          <w:color w:val="000000"/>
        </w:rPr>
        <w:t>ného díla. Splatnost faktury je 30 dní ode dne doručení objednateli. Podkladem pro vystavení faktury je objednatelem potvrzený předávací protokol</w:t>
      </w:r>
    </w:p>
    <w:p w:rsidR="00E73B6D" w:rsidRDefault="00C946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0" w:hanging="2"/>
        <w:jc w:val="both"/>
        <w:rPr>
          <w:color w:val="000000"/>
        </w:rPr>
      </w:pPr>
      <w:r>
        <w:rPr>
          <w:rFonts w:ascii="Twentieth Century" w:eastAsia="Twentieth Century" w:hAnsi="Twentieth Century" w:cs="Twentieth Century"/>
          <w:color w:val="000000"/>
        </w:rPr>
        <w:t>Pokud dojde k prodlení s platbou, je zhotovitel oprávněn požadovat po objednateli 0,05% z celkové ceny zakázky</w:t>
      </w:r>
      <w:r>
        <w:rPr>
          <w:rFonts w:ascii="Twentieth Century" w:eastAsia="Twentieth Century" w:hAnsi="Twentieth Century" w:cs="Twentieth Century"/>
          <w:color w:val="000000"/>
        </w:rPr>
        <w:t xml:space="preserve"> za každý den prodlení. V případě prodlení zhotovitele se splněním závazku dokončit a předat objednateli dílo ve sjednané lhůtě, je zhotovitel povinen zaplatit objednateli smluvní pokutu ve výši 0,1 % z ceny díla za každý den prodlení.</w:t>
      </w:r>
    </w:p>
    <w:p w:rsidR="00E73B6D" w:rsidRDefault="00C9466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before="340" w:after="170" w:line="240" w:lineRule="auto"/>
        <w:ind w:left="0" w:hanging="2"/>
        <w:jc w:val="center"/>
        <w:rPr>
          <w:color w:val="000000"/>
        </w:rPr>
      </w:pPr>
      <w:r>
        <w:rPr>
          <w:rFonts w:ascii="Twentieth Century" w:eastAsia="Twentieth Century" w:hAnsi="Twentieth Century" w:cs="Twentieth Century"/>
          <w:b/>
          <w:color w:val="000000"/>
        </w:rPr>
        <w:t>V. Odpovědnost za vady</w:t>
      </w:r>
    </w:p>
    <w:p w:rsidR="00E73B6D" w:rsidRDefault="00C9466C">
      <w:p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0" w:hanging="2"/>
        <w:jc w:val="both"/>
        <w:rPr>
          <w:rFonts w:ascii="Twentieth Century" w:eastAsia="Twentieth Century" w:hAnsi="Twentieth Century" w:cs="Twentieth Century"/>
          <w:color w:val="000000"/>
        </w:rPr>
      </w:pPr>
      <w:r>
        <w:rPr>
          <w:rFonts w:ascii="Twentieth Century" w:eastAsia="Twentieth Century" w:hAnsi="Twentieth Century" w:cs="Twentieth Century"/>
          <w:color w:val="000000"/>
        </w:rPr>
        <w:t>Případnou reklamaci je zadavatel oprávněn uplatnit okamžitě po jejím zjištění. Zhotovitel je povinen bezúplatně reklamovanou vadu odstranit do 30 dnů. V případě, že vada nebude včas a řádně odstraněna, má zadavatel právo na přiměřeno</w:t>
      </w:r>
      <w:r>
        <w:rPr>
          <w:rFonts w:ascii="Twentieth Century" w:eastAsia="Twentieth Century" w:hAnsi="Twentieth Century" w:cs="Twentieth Century"/>
          <w:color w:val="000000"/>
        </w:rPr>
        <w:t>u slevu.</w:t>
      </w:r>
    </w:p>
    <w:p w:rsidR="00E73B6D" w:rsidRDefault="00C9466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before="340" w:after="170" w:line="240" w:lineRule="auto"/>
        <w:ind w:left="0" w:hanging="2"/>
        <w:jc w:val="center"/>
        <w:rPr>
          <w:color w:val="000000"/>
        </w:rPr>
      </w:pPr>
      <w:r>
        <w:rPr>
          <w:rFonts w:ascii="Twentieth Century" w:eastAsia="Twentieth Century" w:hAnsi="Twentieth Century" w:cs="Twentieth Century"/>
          <w:b/>
          <w:color w:val="000000"/>
        </w:rPr>
        <w:t>VI. Platnost smlouvy</w:t>
      </w:r>
    </w:p>
    <w:p w:rsidR="00E73B6D" w:rsidRDefault="00C9466C">
      <w:p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0" w:hanging="2"/>
        <w:jc w:val="both"/>
        <w:rPr>
          <w:rFonts w:ascii="Twentieth Century" w:eastAsia="Twentieth Century" w:hAnsi="Twentieth Century" w:cs="Twentieth Century"/>
          <w:color w:val="000000"/>
        </w:rPr>
      </w:pPr>
      <w:r>
        <w:rPr>
          <w:rFonts w:ascii="Twentieth Century" w:eastAsia="Twentieth Century" w:hAnsi="Twentieth Century" w:cs="Twentieth Century"/>
          <w:color w:val="000000"/>
        </w:rPr>
        <w:t>Tato smlouva nabývá platnosti dnem jejího podpisu zástupci smluvních stran a účinnosti dnem uveřejnění v registru smluv dle zák. č. 340/2015 Sb. v platném znění, přičemž uveřejnění smlouvy v registru smluv zajistí objednatel.</w:t>
      </w:r>
    </w:p>
    <w:p w:rsidR="00E73B6D" w:rsidRDefault="00C9466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before="340" w:after="170" w:line="240" w:lineRule="auto"/>
        <w:ind w:left="0" w:hanging="2"/>
        <w:jc w:val="center"/>
        <w:rPr>
          <w:color w:val="000000"/>
        </w:rPr>
      </w:pPr>
      <w:r>
        <w:rPr>
          <w:rFonts w:ascii="Twentieth Century" w:eastAsia="Twentieth Century" w:hAnsi="Twentieth Century" w:cs="Twentieth Century"/>
          <w:b/>
          <w:color w:val="000000"/>
        </w:rPr>
        <w:t>VII. Ostatní ujednání</w:t>
      </w:r>
    </w:p>
    <w:p w:rsidR="00E73B6D" w:rsidRDefault="00C946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after="57" w:line="240" w:lineRule="auto"/>
        <w:ind w:left="0" w:hanging="2"/>
        <w:jc w:val="both"/>
        <w:rPr>
          <w:color w:val="000000"/>
        </w:rPr>
      </w:pPr>
      <w:r>
        <w:rPr>
          <w:rFonts w:ascii="Twentieth Century" w:eastAsia="Twentieth Century" w:hAnsi="Twentieth Century" w:cs="Twentieth Century"/>
          <w:color w:val="000000"/>
        </w:rPr>
        <w:t>Obě strany se zavazují v průběhu platnosti smlouvy spolupracovat při realizaci jejího plnění. K tomuto účelu určují osoby odpovědné za řešení a vyřizování běžných záležitostí vyplývajících ze vzájemné součinnosti.</w:t>
      </w:r>
    </w:p>
    <w:p w:rsidR="00E73B6D" w:rsidRDefault="00C9466C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after="57" w:line="240" w:lineRule="auto"/>
        <w:ind w:left="0" w:hanging="2"/>
        <w:jc w:val="both"/>
        <w:rPr>
          <w:color w:val="000000"/>
        </w:rPr>
      </w:pPr>
      <w:r>
        <w:rPr>
          <w:rFonts w:ascii="Twentieth Century" w:eastAsia="Twentieth Century" w:hAnsi="Twentieth Century" w:cs="Twentieth Century"/>
          <w:color w:val="000000"/>
        </w:rPr>
        <w:t>Zodpovědná osoba (redaktor) objednatele: PhDr. Zdeněk Vybíral, Ph.D.; tel. 739 468 408; vybiral@husitskemuzeum.cz</w:t>
      </w:r>
    </w:p>
    <w:p w:rsidR="00E73B6D" w:rsidRDefault="00C9466C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after="57" w:line="240" w:lineRule="auto"/>
        <w:ind w:left="0" w:hanging="2"/>
        <w:jc w:val="both"/>
        <w:rPr>
          <w:color w:val="000000"/>
        </w:rPr>
      </w:pPr>
      <w:r>
        <w:rPr>
          <w:rFonts w:ascii="Twentieth Century" w:eastAsia="Twentieth Century" w:hAnsi="Twentieth Century" w:cs="Twentieth Century"/>
          <w:color w:val="000000"/>
        </w:rPr>
        <w:t xml:space="preserve">Zodpovědná osoba zhotovitele pro sazbu a tisk: </w:t>
      </w:r>
      <w:r w:rsidRPr="0044089B">
        <w:rPr>
          <w:rFonts w:ascii="Twentieth Century" w:eastAsia="Twentieth Century" w:hAnsi="Twentieth Century" w:cs="Twentieth Century"/>
          <w:color w:val="000000"/>
          <w:highlight w:val="black"/>
        </w:rPr>
        <w:t>Gustav Fifka; tel.: 737 266 854, fifka@vivadesign.cz</w:t>
      </w:r>
      <w:bookmarkStart w:id="0" w:name="_GoBack"/>
      <w:bookmarkEnd w:id="0"/>
    </w:p>
    <w:p w:rsidR="00E73B6D" w:rsidRDefault="00C946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after="57" w:line="240" w:lineRule="auto"/>
        <w:ind w:left="0" w:hanging="2"/>
        <w:jc w:val="both"/>
        <w:rPr>
          <w:color w:val="000000"/>
        </w:rPr>
      </w:pPr>
      <w:r>
        <w:rPr>
          <w:rFonts w:ascii="Twentieth Century" w:eastAsia="Twentieth Century" w:hAnsi="Twentieth Century" w:cs="Twentieth Century"/>
          <w:color w:val="000000"/>
        </w:rPr>
        <w:t>Zhotovitel umožní zástupci objednatele fyz</w:t>
      </w:r>
      <w:r>
        <w:rPr>
          <w:rFonts w:ascii="Twentieth Century" w:eastAsia="Twentieth Century" w:hAnsi="Twentieth Century" w:cs="Twentieth Century"/>
          <w:color w:val="000000"/>
        </w:rPr>
        <w:t>ickou přítomnost při kalibraci a barevných korekcích tisku.</w:t>
      </w:r>
    </w:p>
    <w:p w:rsidR="00E73B6D" w:rsidRDefault="00C946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after="57" w:line="240" w:lineRule="auto"/>
        <w:ind w:left="0" w:hanging="2"/>
        <w:jc w:val="both"/>
        <w:rPr>
          <w:color w:val="000000"/>
        </w:rPr>
      </w:pPr>
      <w:r>
        <w:rPr>
          <w:rFonts w:ascii="Twentieth Century" w:eastAsia="Twentieth Century" w:hAnsi="Twentieth Century" w:cs="Twentieth Century"/>
          <w:color w:val="000000"/>
        </w:rPr>
        <w:t>Případné spory obou stran se budou řešit přednostně dohodou. Nepodaří-li se tyto spory vyřešit smírně, je k řešení určen místně příslušný soud v Českých Budějovicích.</w:t>
      </w:r>
    </w:p>
    <w:p w:rsidR="00E73B6D" w:rsidRDefault="00C946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after="57" w:line="240" w:lineRule="auto"/>
        <w:ind w:left="0" w:hanging="2"/>
        <w:jc w:val="both"/>
        <w:rPr>
          <w:color w:val="000000"/>
        </w:rPr>
      </w:pPr>
      <w:r>
        <w:rPr>
          <w:rFonts w:ascii="Twentieth Century" w:eastAsia="Twentieth Century" w:hAnsi="Twentieth Century" w:cs="Twentieth Century"/>
          <w:color w:val="000000"/>
        </w:rPr>
        <w:t>V případě neoprávněného odsto</w:t>
      </w:r>
      <w:r>
        <w:rPr>
          <w:rFonts w:ascii="Twentieth Century" w:eastAsia="Twentieth Century" w:hAnsi="Twentieth Century" w:cs="Twentieth Century"/>
          <w:color w:val="000000"/>
        </w:rPr>
        <w:t>upení od smlouvy uhradí vzniklé škody odstupující strana.</w:t>
      </w:r>
    </w:p>
    <w:p w:rsidR="00E73B6D" w:rsidRDefault="00C946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after="57" w:line="240" w:lineRule="auto"/>
        <w:ind w:left="0" w:hanging="2"/>
        <w:jc w:val="both"/>
        <w:rPr>
          <w:color w:val="000000"/>
        </w:rPr>
      </w:pPr>
      <w:r>
        <w:rPr>
          <w:rFonts w:ascii="Twentieth Century" w:eastAsia="Twentieth Century" w:hAnsi="Twentieth Century" w:cs="Twentieth Century"/>
          <w:color w:val="000000"/>
        </w:rPr>
        <w:t>Obě strany prohlašují, že předem souhlasí v souladu se zněním zákona č. 106/1999 Sb. (o svobodném přístupu k informacím), s možným zpřístupněním, či zveřejněním celé této smlouvy v jejím plném znění</w:t>
      </w:r>
      <w:r>
        <w:rPr>
          <w:rFonts w:ascii="Twentieth Century" w:eastAsia="Twentieth Century" w:hAnsi="Twentieth Century" w:cs="Twentieth Century"/>
          <w:color w:val="000000"/>
        </w:rPr>
        <w:t>, jakož i všech úkonů a okolností s touto smlouvou souvisejících, ke kterému může kdykoli v budoucnu dojít.</w:t>
      </w:r>
    </w:p>
    <w:p w:rsidR="00E73B6D" w:rsidRDefault="00C946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after="57" w:line="240" w:lineRule="auto"/>
        <w:ind w:left="0" w:hanging="2"/>
        <w:jc w:val="both"/>
        <w:rPr>
          <w:color w:val="000000"/>
        </w:rPr>
      </w:pPr>
      <w:r>
        <w:rPr>
          <w:rFonts w:ascii="Twentieth Century" w:eastAsia="Twentieth Century" w:hAnsi="Twentieth Century" w:cs="Twentieth Century"/>
          <w:color w:val="000000"/>
        </w:rPr>
        <w:lastRenderedPageBreak/>
        <w:t xml:space="preserve">Smlouva je vypracována ve dvou vyhotoveních, z nichž každá smluvní strana obdrží jedno. Smlouvu lze měnit pouze po dohodě smluvních stran písemnými </w:t>
      </w:r>
      <w:r>
        <w:rPr>
          <w:rFonts w:ascii="Twentieth Century" w:eastAsia="Twentieth Century" w:hAnsi="Twentieth Century" w:cs="Twentieth Century"/>
          <w:color w:val="000000"/>
        </w:rPr>
        <w:t>dodatky opatřenými datem, pořadovým číslem a podpisem statutárních orgánů smluvních stran.</w:t>
      </w:r>
    </w:p>
    <w:p w:rsidR="00E73B6D" w:rsidRDefault="00C946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after="57" w:line="240" w:lineRule="auto"/>
        <w:ind w:left="0" w:hanging="2"/>
        <w:jc w:val="both"/>
        <w:rPr>
          <w:color w:val="000000"/>
        </w:rPr>
      </w:pPr>
      <w:r>
        <w:rPr>
          <w:rFonts w:ascii="Twentieth Century" w:eastAsia="Twentieth Century" w:hAnsi="Twentieth Century" w:cs="Twentieth Century"/>
          <w:color w:val="000000"/>
        </w:rPr>
        <w:t>Obě smluvní strany prohlašují, že si tuto smlouvu před podpisem přečetly, porozuměly jejímu obsahu, s obsahem souhlasí, a že je tato smlouva projevem jejich svobodné</w:t>
      </w:r>
      <w:r>
        <w:rPr>
          <w:rFonts w:ascii="Twentieth Century" w:eastAsia="Twentieth Century" w:hAnsi="Twentieth Century" w:cs="Twentieth Century"/>
          <w:color w:val="000000"/>
        </w:rPr>
        <w:t xml:space="preserve"> vůle.</w:t>
      </w:r>
    </w:p>
    <w:p w:rsidR="00E73B6D" w:rsidRDefault="00E73B6D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after="57" w:line="240" w:lineRule="auto"/>
        <w:ind w:left="0" w:hanging="2"/>
        <w:jc w:val="both"/>
        <w:rPr>
          <w:rFonts w:ascii="Twentieth Century" w:eastAsia="Twentieth Century" w:hAnsi="Twentieth Century" w:cs="Twentieth Century"/>
          <w:color w:val="000000"/>
        </w:rPr>
      </w:pPr>
    </w:p>
    <w:p w:rsidR="00E73B6D" w:rsidRDefault="00E73B6D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after="57" w:line="240" w:lineRule="auto"/>
        <w:ind w:left="0" w:hanging="2"/>
        <w:jc w:val="both"/>
        <w:rPr>
          <w:rFonts w:ascii="Twentieth Century" w:eastAsia="Twentieth Century" w:hAnsi="Twentieth Century" w:cs="Twentieth Century"/>
          <w:color w:val="000000"/>
        </w:rPr>
      </w:pPr>
    </w:p>
    <w:p w:rsidR="00E73B6D" w:rsidRDefault="00E73B6D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after="57" w:line="240" w:lineRule="auto"/>
        <w:ind w:left="0" w:hanging="2"/>
        <w:jc w:val="both"/>
        <w:rPr>
          <w:rFonts w:ascii="Twentieth Century" w:eastAsia="Twentieth Century" w:hAnsi="Twentieth Century" w:cs="Twentieth Century"/>
          <w:color w:val="000000"/>
        </w:rPr>
      </w:pPr>
    </w:p>
    <w:p w:rsidR="00E73B6D" w:rsidRDefault="00C9466C">
      <w:pPr>
        <w:pBdr>
          <w:top w:val="nil"/>
          <w:left w:val="nil"/>
          <w:bottom w:val="nil"/>
          <w:right w:val="nil"/>
          <w:between w:val="nil"/>
        </w:pBdr>
        <w:tabs>
          <w:tab w:val="left" w:pos="623"/>
          <w:tab w:val="center" w:pos="2100"/>
          <w:tab w:val="left" w:pos="5100"/>
          <w:tab w:val="center" w:pos="6518"/>
        </w:tabs>
        <w:spacing w:after="57" w:line="240" w:lineRule="auto"/>
        <w:ind w:left="0" w:hanging="2"/>
        <w:jc w:val="both"/>
        <w:rPr>
          <w:color w:val="000000"/>
        </w:rPr>
      </w:pPr>
      <w:r>
        <w:rPr>
          <w:rFonts w:ascii="Twentieth Century" w:eastAsia="Twentieth Century" w:hAnsi="Twentieth Century" w:cs="Twentieth Century"/>
          <w:color w:val="000000"/>
        </w:rPr>
        <w:tab/>
        <w:t>V Táboře dne 27. 11. 2024</w:t>
      </w:r>
      <w:r>
        <w:rPr>
          <w:rFonts w:ascii="Twentieth Century" w:eastAsia="Twentieth Century" w:hAnsi="Twentieth Century" w:cs="Twentieth Century"/>
          <w:color w:val="000000"/>
        </w:rPr>
        <w:tab/>
        <w:t>V Táboře dne 27. 11. 2024</w:t>
      </w:r>
    </w:p>
    <w:p w:rsidR="00E73B6D" w:rsidRDefault="00E73B6D">
      <w:pPr>
        <w:pBdr>
          <w:top w:val="nil"/>
          <w:left w:val="nil"/>
          <w:bottom w:val="nil"/>
          <w:right w:val="nil"/>
          <w:between w:val="nil"/>
        </w:pBdr>
        <w:tabs>
          <w:tab w:val="center" w:pos="2100"/>
          <w:tab w:val="center" w:pos="6518"/>
        </w:tabs>
        <w:spacing w:after="57" w:line="240" w:lineRule="auto"/>
        <w:ind w:left="0" w:hanging="2"/>
        <w:jc w:val="both"/>
        <w:rPr>
          <w:rFonts w:ascii="Twentieth Century" w:eastAsia="Twentieth Century" w:hAnsi="Twentieth Century" w:cs="Twentieth Century"/>
          <w:color w:val="000000"/>
        </w:rPr>
      </w:pPr>
    </w:p>
    <w:p w:rsidR="00E73B6D" w:rsidRDefault="00E73B6D">
      <w:pPr>
        <w:pBdr>
          <w:top w:val="nil"/>
          <w:left w:val="nil"/>
          <w:bottom w:val="nil"/>
          <w:right w:val="nil"/>
          <w:between w:val="nil"/>
        </w:pBdr>
        <w:tabs>
          <w:tab w:val="center" w:pos="2100"/>
          <w:tab w:val="center" w:pos="6518"/>
        </w:tabs>
        <w:spacing w:after="57" w:line="240" w:lineRule="auto"/>
        <w:ind w:left="0" w:hanging="2"/>
        <w:jc w:val="both"/>
        <w:rPr>
          <w:rFonts w:ascii="Twentieth Century" w:eastAsia="Twentieth Century" w:hAnsi="Twentieth Century" w:cs="Twentieth Century"/>
          <w:color w:val="000000"/>
        </w:rPr>
      </w:pPr>
    </w:p>
    <w:p w:rsidR="00E73B6D" w:rsidRDefault="00E73B6D">
      <w:pPr>
        <w:pBdr>
          <w:top w:val="nil"/>
          <w:left w:val="nil"/>
          <w:bottom w:val="nil"/>
          <w:right w:val="nil"/>
          <w:between w:val="nil"/>
        </w:pBdr>
        <w:tabs>
          <w:tab w:val="center" w:pos="2100"/>
          <w:tab w:val="center" w:pos="6518"/>
        </w:tabs>
        <w:spacing w:after="57" w:line="240" w:lineRule="auto"/>
        <w:ind w:left="0" w:hanging="2"/>
        <w:jc w:val="both"/>
        <w:rPr>
          <w:rFonts w:ascii="Twentieth Century" w:eastAsia="Twentieth Century" w:hAnsi="Twentieth Century" w:cs="Twentieth Century"/>
          <w:color w:val="000000"/>
        </w:rPr>
      </w:pPr>
    </w:p>
    <w:p w:rsidR="00E73B6D" w:rsidRDefault="00C9466C">
      <w:pPr>
        <w:pBdr>
          <w:top w:val="nil"/>
          <w:left w:val="nil"/>
          <w:bottom w:val="nil"/>
          <w:right w:val="nil"/>
          <w:between w:val="nil"/>
        </w:pBdr>
        <w:tabs>
          <w:tab w:val="center" w:pos="2100"/>
          <w:tab w:val="center" w:pos="6518"/>
        </w:tabs>
        <w:spacing w:after="57" w:line="240" w:lineRule="auto"/>
        <w:ind w:left="0" w:hanging="2"/>
        <w:jc w:val="both"/>
        <w:rPr>
          <w:color w:val="000000"/>
        </w:rPr>
      </w:pPr>
      <w:r>
        <w:rPr>
          <w:rFonts w:ascii="Twentieth Century" w:eastAsia="Twentieth Century" w:hAnsi="Twentieth Century" w:cs="Twentieth Century"/>
          <w:color w:val="000000"/>
        </w:rPr>
        <w:tab/>
      </w:r>
      <w:r>
        <w:rPr>
          <w:color w:val="000000"/>
        </w:rPr>
        <w:t>________________________</w:t>
      </w:r>
      <w:r>
        <w:rPr>
          <w:color w:val="000000"/>
        </w:rPr>
        <w:tab/>
        <w:t>________________________</w:t>
      </w:r>
    </w:p>
    <w:p w:rsidR="00E73B6D" w:rsidRDefault="00C9466C">
      <w:pPr>
        <w:pBdr>
          <w:top w:val="nil"/>
          <w:left w:val="nil"/>
          <w:bottom w:val="nil"/>
          <w:right w:val="nil"/>
          <w:between w:val="nil"/>
        </w:pBdr>
        <w:tabs>
          <w:tab w:val="center" w:pos="2100"/>
          <w:tab w:val="center" w:pos="6518"/>
        </w:tabs>
        <w:spacing w:after="57" w:line="240" w:lineRule="auto"/>
        <w:ind w:left="0" w:hanging="2"/>
        <w:jc w:val="both"/>
        <w:rPr>
          <w:color w:val="000000"/>
        </w:rPr>
      </w:pPr>
      <w:r>
        <w:rPr>
          <w:rFonts w:ascii="Twentieth Century" w:eastAsia="Twentieth Century" w:hAnsi="Twentieth Century" w:cs="Twentieth Century"/>
          <w:color w:val="000000"/>
        </w:rPr>
        <w:tab/>
        <w:t>podpis zástupce objednatele</w:t>
      </w:r>
      <w:r>
        <w:rPr>
          <w:rFonts w:ascii="Twentieth Century" w:eastAsia="Twentieth Century" w:hAnsi="Twentieth Century" w:cs="Twentieth Century"/>
          <w:color w:val="000000"/>
        </w:rPr>
        <w:tab/>
        <w:t>podpis zástupce zhotovitele</w:t>
      </w:r>
    </w:p>
    <w:sectPr w:rsidR="00E73B6D">
      <w:footerReference w:type="default" r:id="rId8"/>
      <w:pgSz w:w="11906" w:h="16838"/>
      <w:pgMar w:top="851" w:right="1304" w:bottom="1418" w:left="13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9466C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C946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wentieth Century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inherit">
    <w:altName w:val="Times New Roman"/>
    <w:charset w:val="00"/>
    <w:family w:val="auto"/>
    <w:pitch w:val="default"/>
  </w:font>
  <w:font w:name="Helvetica Neue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B6D" w:rsidRDefault="00C946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  <w:r>
      <w:rPr>
        <w:noProof/>
        <w:lang w:eastAsia="cs-CZ"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6438900</wp:posOffset>
              </wp:positionH>
              <wp:positionV relativeFrom="paragraph">
                <wp:posOffset>0</wp:posOffset>
              </wp:positionV>
              <wp:extent cx="211455" cy="146050"/>
              <wp:effectExtent l="0" t="0" r="0" b="0"/>
              <wp:wrapSquare wrapText="bothSides" distT="0" distB="0" distL="0" distR="0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5035" y="3711738"/>
                        <a:ext cx="201930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E73B6D" w:rsidRDefault="00C9466C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PAGE 3</w:t>
                          </w:r>
                          <w:r>
                            <w:rPr>
                              <w:rFonts w:ascii="Twentieth Century" w:eastAsia="Twentieth Century" w:hAnsi="Twentieth Century" w:cs="Twentieth Century"/>
                              <w:color w:val="000000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NUMPAGES \* ARABIC 3</w:t>
                          </w:r>
                        </w:p>
                        <w:p w:rsidR="00E73B6D" w:rsidRDefault="00E73B6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6438900</wp:posOffset>
              </wp:positionH>
              <wp:positionV relativeFrom="paragraph">
                <wp:posOffset>0</wp:posOffset>
              </wp:positionV>
              <wp:extent cx="211455" cy="146050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1455" cy="146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9466C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C9466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E2DD4"/>
    <w:multiLevelType w:val="multilevel"/>
    <w:tmpl w:val="D2605C0E"/>
    <w:lvl w:ilvl="0">
      <w:start w:val="1"/>
      <w:numFmt w:val="decimal"/>
      <w:lvlText w:val="%1."/>
      <w:lvlJc w:val="left"/>
      <w:pPr>
        <w:ind w:left="720" w:hanging="360"/>
      </w:pPr>
      <w:rPr>
        <w:rFonts w:ascii="Twentieth Century" w:eastAsia="Twentieth Century" w:hAnsi="Twentieth Century" w:cs="Twentieth Century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" w15:restartNumberingAfterBreak="0">
    <w:nsid w:val="11714958"/>
    <w:multiLevelType w:val="multilevel"/>
    <w:tmpl w:val="D108B4F2"/>
    <w:lvl w:ilvl="0">
      <w:start w:val="1"/>
      <w:numFmt w:val="decimal"/>
      <w:lvlText w:val="%1."/>
      <w:lvlJc w:val="left"/>
      <w:pPr>
        <w:ind w:left="720" w:hanging="360"/>
      </w:pPr>
      <w:rPr>
        <w:rFonts w:ascii="Twentieth Century" w:eastAsia="Twentieth Century" w:hAnsi="Twentieth Century" w:cs="Twentieth Century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2" w15:restartNumberingAfterBreak="0">
    <w:nsid w:val="15C552D5"/>
    <w:multiLevelType w:val="multilevel"/>
    <w:tmpl w:val="DD360390"/>
    <w:lvl w:ilvl="0">
      <w:start w:val="1"/>
      <w:numFmt w:val="decimal"/>
      <w:lvlText w:val="%1."/>
      <w:lvlJc w:val="left"/>
      <w:pPr>
        <w:ind w:left="720" w:hanging="360"/>
      </w:pPr>
      <w:rPr>
        <w:rFonts w:ascii="Twentieth Century" w:eastAsia="Twentieth Century" w:hAnsi="Twentieth Century" w:cs="Twentieth Century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3" w15:restartNumberingAfterBreak="0">
    <w:nsid w:val="6DEC5314"/>
    <w:multiLevelType w:val="multilevel"/>
    <w:tmpl w:val="F33E232E"/>
    <w:lvl w:ilvl="0">
      <w:start w:val="1"/>
      <w:numFmt w:val="decimal"/>
      <w:lvlText w:val="%1."/>
      <w:lvlJc w:val="left"/>
      <w:pPr>
        <w:ind w:left="720" w:hanging="360"/>
      </w:pPr>
      <w:rPr>
        <w:rFonts w:ascii="Twentieth Century" w:eastAsia="Twentieth Century" w:hAnsi="Twentieth Century" w:cs="Twentieth Century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6D"/>
    <w:rsid w:val="0044089B"/>
    <w:rsid w:val="00C9466C"/>
    <w:rsid w:val="00E7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63676-B1FF-4ED1-964A-3D70ADBA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Tw Cen MT" w:hAnsi="Tw Cen MT" w:cs="Tw Cen MT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w Cen MT" w:hAnsi="Tw Cen MT" w:cs="Tw Cen MT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w Cen MT" w:hAnsi="Tw Cen MT" w:cs="Tw Cen M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Tw Cen MT" w:hAnsi="Tw Cen MT" w:cs="Tw Cen M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styleId="slostrnky">
    <w:name w:val="page number"/>
    <w:basedOn w:val="Standardnpsmoodstav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Symbolyproslovn">
    <w:name w:val="Symboly pro číslování"/>
    <w:rPr>
      <w:w w:val="100"/>
      <w:position w:val="-1"/>
      <w:effect w:val="none"/>
      <w:vertAlign w:val="baseline"/>
      <w:cs w:val="0"/>
      <w:em w:val="none"/>
    </w:rPr>
  </w:style>
  <w:style w:type="character" w:styleId="Hypertextovodkaz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Zkladntextodsazen2">
    <w:name w:val="Body Text Indent 2"/>
    <w:basedOn w:val="Normln"/>
    <w:qFormat/>
    <w:pPr>
      <w:spacing w:after="120" w:line="480" w:lineRule="auto"/>
      <w:ind w:left="283"/>
    </w:pPr>
  </w:style>
  <w:style w:type="character" w:customStyle="1" w:styleId="Zkladntextodsazen2Char">
    <w:name w:val="Základní text odsazený 2 Char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DFUXX2pHKuYJMPBMMGLXBitTlA==">CgMxLjA4AHIhMTl4eUVVcnlVOG1femlvbWwzOFMxMlNjTWJpQ1k4U1lq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Zdeněk Vybíral</cp:lastModifiedBy>
  <cp:revision>2</cp:revision>
  <dcterms:created xsi:type="dcterms:W3CDTF">2024-12-17T12:13:00Z</dcterms:created>
  <dcterms:modified xsi:type="dcterms:W3CDTF">2024-12-17T12:13:00Z</dcterms:modified>
</cp:coreProperties>
</file>