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7221400088</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spacing w:before="1"/>
      </w:pPr>
    </w:p>
    <w:p>
      <w:pPr>
        <w:pStyle w:val="Heading2"/>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before="1"/>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spacing w:before="1"/>
        <w:ind w:left="102"/>
      </w:pPr>
      <w:r>
        <w:rPr/>
        <w:t>(dále</w:t>
      </w:r>
      <w:r>
        <w:rPr>
          <w:spacing w:val="-5"/>
        </w:rPr>
        <w:t> </w:t>
      </w:r>
      <w:r>
        <w:rPr/>
        <w:t>jen</w:t>
      </w:r>
      <w:r>
        <w:rPr>
          <w:spacing w:val="-4"/>
        </w:rPr>
        <w:t> </w:t>
      </w:r>
      <w:r>
        <w:rPr>
          <w:spacing w:val="-2"/>
        </w:rPr>
        <w:t>„Fond")</w:t>
      </w:r>
    </w:p>
    <w:p>
      <w:pPr>
        <w:pStyle w:val="BodyText"/>
        <w:spacing w:before="11"/>
        <w:rPr>
          <w:sz w:val="19"/>
        </w:rPr>
      </w:pPr>
    </w:p>
    <w:p>
      <w:pPr>
        <w:pStyle w:val="BodyText"/>
        <w:ind w:left="102"/>
      </w:pPr>
      <w:r>
        <w:rPr>
          <w:w w:val="99"/>
        </w:rPr>
        <w:t>a</w:t>
      </w:r>
    </w:p>
    <w:p>
      <w:pPr>
        <w:pStyle w:val="BodyText"/>
        <w:spacing w:before="1"/>
      </w:pPr>
    </w:p>
    <w:p>
      <w:pPr>
        <w:pStyle w:val="Heading2"/>
        <w:ind w:left="102"/>
        <w:jc w:val="left"/>
      </w:pPr>
      <w:r>
        <w:rPr/>
        <w:t>město</w:t>
      </w:r>
      <w:r>
        <w:rPr>
          <w:spacing w:val="-8"/>
        </w:rPr>
        <w:t> </w:t>
      </w:r>
      <w:r>
        <w:rPr/>
        <w:t>Vysoké</w:t>
      </w:r>
      <w:r>
        <w:rPr>
          <w:spacing w:val="-6"/>
        </w:rPr>
        <w:t> </w:t>
      </w:r>
      <w:r>
        <w:rPr>
          <w:spacing w:val="-4"/>
        </w:rPr>
        <w:t>Mýto</w:t>
      </w:r>
    </w:p>
    <w:p>
      <w:pPr>
        <w:pStyle w:val="BodyText"/>
        <w:tabs>
          <w:tab w:pos="2977" w:val="left" w:leader="none"/>
        </w:tabs>
        <w:ind w:left="102"/>
      </w:pPr>
      <w:r>
        <w:rPr/>
        <w:t>kontaktní</w:t>
      </w:r>
      <w:r>
        <w:rPr>
          <w:spacing w:val="-11"/>
        </w:rPr>
        <w:t> </w:t>
      </w:r>
      <w:r>
        <w:rPr>
          <w:spacing w:val="-2"/>
        </w:rPr>
        <w:t>adresa:</w:t>
      </w:r>
      <w:r>
        <w:rPr/>
        <w:tab/>
        <w:t>Městský</w:t>
      </w:r>
      <w:r>
        <w:rPr>
          <w:spacing w:val="-9"/>
        </w:rPr>
        <w:t> </w:t>
      </w:r>
      <w:r>
        <w:rPr/>
        <w:t>úřad</w:t>
      </w:r>
      <w:r>
        <w:rPr>
          <w:spacing w:val="-8"/>
        </w:rPr>
        <w:t> </w:t>
      </w:r>
      <w:r>
        <w:rPr/>
        <w:t>Vysoké</w:t>
      </w:r>
      <w:r>
        <w:rPr>
          <w:spacing w:val="-9"/>
        </w:rPr>
        <w:t> </w:t>
      </w:r>
      <w:r>
        <w:rPr/>
        <w:t>Mýto,</w:t>
      </w:r>
      <w:r>
        <w:rPr>
          <w:spacing w:val="-6"/>
        </w:rPr>
        <w:t> </w:t>
      </w:r>
      <w:r>
        <w:rPr/>
        <w:t>Vysoké</w:t>
      </w:r>
      <w:r>
        <w:rPr>
          <w:spacing w:val="-9"/>
        </w:rPr>
        <w:t> </w:t>
      </w:r>
      <w:r>
        <w:rPr/>
        <w:t>Mýto-</w:t>
      </w:r>
      <w:r>
        <w:rPr>
          <w:spacing w:val="-2"/>
        </w:rPr>
        <w:t>Město</w:t>
      </w:r>
    </w:p>
    <w:p>
      <w:pPr>
        <w:pStyle w:val="BodyText"/>
        <w:spacing w:before="1"/>
        <w:ind w:left="2951"/>
      </w:pPr>
      <w:r>
        <w:rPr/>
        <w:t>B.</w:t>
      </w:r>
      <w:r>
        <w:rPr>
          <w:spacing w:val="-6"/>
        </w:rPr>
        <w:t> </w:t>
      </w:r>
      <w:r>
        <w:rPr/>
        <w:t>Smetany</w:t>
      </w:r>
      <w:r>
        <w:rPr>
          <w:spacing w:val="-5"/>
        </w:rPr>
        <w:t> </w:t>
      </w:r>
      <w:r>
        <w:rPr/>
        <w:t>92,</w:t>
      </w:r>
      <w:r>
        <w:rPr>
          <w:spacing w:val="-4"/>
        </w:rPr>
        <w:t> </w:t>
      </w:r>
      <w:r>
        <w:rPr/>
        <w:t>566</w:t>
      </w:r>
      <w:r>
        <w:rPr>
          <w:spacing w:val="-4"/>
        </w:rPr>
        <w:t> </w:t>
      </w:r>
      <w:r>
        <w:rPr/>
        <w:t>01</w:t>
      </w:r>
      <w:r>
        <w:rPr>
          <w:spacing w:val="-3"/>
        </w:rPr>
        <w:t> </w:t>
      </w:r>
      <w:r>
        <w:rPr/>
        <w:t>Vysoké</w:t>
      </w:r>
      <w:r>
        <w:rPr>
          <w:spacing w:val="-6"/>
        </w:rPr>
        <w:t> </w:t>
      </w:r>
      <w:r>
        <w:rPr>
          <w:spacing w:val="-4"/>
        </w:rPr>
        <w:t>Mýto</w:t>
      </w:r>
    </w:p>
    <w:p>
      <w:pPr>
        <w:pStyle w:val="BodyText"/>
        <w:tabs>
          <w:tab w:pos="2982" w:val="left" w:leader="none"/>
        </w:tabs>
        <w:spacing w:line="265" w:lineRule="exact"/>
        <w:ind w:left="102"/>
      </w:pPr>
      <w:r>
        <w:rPr>
          <w:spacing w:val="-4"/>
        </w:rPr>
        <w:t>IČO:</w:t>
      </w:r>
      <w:r>
        <w:rPr/>
        <w:tab/>
      </w:r>
      <w:r>
        <w:rPr>
          <w:spacing w:val="-2"/>
        </w:rPr>
        <w:t>00279773</w:t>
      </w:r>
    </w:p>
    <w:p>
      <w:pPr>
        <w:pStyle w:val="BodyText"/>
        <w:tabs>
          <w:tab w:pos="2982" w:val="left" w:leader="none"/>
        </w:tabs>
        <w:spacing w:line="265" w:lineRule="exact"/>
        <w:ind w:left="102"/>
      </w:pPr>
      <w:r>
        <w:rPr>
          <w:spacing w:val="-2"/>
        </w:rPr>
        <w:t>zastoupené:</w:t>
      </w:r>
      <w:r>
        <w:rPr/>
        <w:tab/>
        <w:t>Ing.</w:t>
      </w:r>
      <w:r>
        <w:rPr>
          <w:spacing w:val="-3"/>
        </w:rPr>
        <w:t> </w:t>
      </w:r>
      <w:r>
        <w:rPr/>
        <w:t>Františkem</w:t>
      </w:r>
      <w:r>
        <w:rPr>
          <w:spacing w:val="-2"/>
        </w:rPr>
        <w:t> </w:t>
      </w:r>
      <w:r>
        <w:rPr/>
        <w:t>J</w:t>
      </w:r>
      <w:r>
        <w:rPr>
          <w:spacing w:val="-1"/>
        </w:rPr>
        <w:t> </w:t>
      </w:r>
      <w:r>
        <w:rPr/>
        <w:t>i</w:t>
      </w:r>
      <w:r>
        <w:rPr>
          <w:spacing w:val="-3"/>
        </w:rPr>
        <w:t> </w:t>
      </w:r>
      <w:r>
        <w:rPr/>
        <w:t>r</w:t>
      </w:r>
      <w:r>
        <w:rPr>
          <w:spacing w:val="-2"/>
        </w:rPr>
        <w:t> </w:t>
      </w:r>
      <w:r>
        <w:rPr/>
        <w:t>a</w:t>
      </w:r>
      <w:r>
        <w:rPr>
          <w:spacing w:val="-4"/>
        </w:rPr>
        <w:t> </w:t>
      </w:r>
      <w:r>
        <w:rPr/>
        <w:t>s</w:t>
      </w:r>
      <w:r>
        <w:rPr>
          <w:spacing w:val="-3"/>
        </w:rPr>
        <w:t> </w:t>
      </w:r>
      <w:r>
        <w:rPr/>
        <w:t>k</w:t>
      </w:r>
      <w:r>
        <w:rPr>
          <w:spacing w:val="-3"/>
        </w:rPr>
        <w:t> </w:t>
      </w:r>
      <w:r>
        <w:rPr/>
        <w:t>ý</w:t>
      </w:r>
      <w:r>
        <w:rPr>
          <w:spacing w:val="-1"/>
        </w:rPr>
        <w:t> </w:t>
      </w:r>
      <w:r>
        <w:rPr/>
        <w:t>m,</w:t>
      </w:r>
      <w:r>
        <w:rPr>
          <w:spacing w:val="-3"/>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4114611/0710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7221400088 o poskytnutí finančních prostředků ze Státního fondu životního prostředí ČR ze dne 22. 12.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 podpory potvrzuje, že se seznámil s Výzvou RES+ 4/2022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155"/>
        <w:jc w:val="both"/>
      </w:pPr>
      <w:r>
        <w:rPr/>
        <w:t>„Město</w:t>
      </w:r>
      <w:r>
        <w:rPr>
          <w:spacing w:val="-5"/>
        </w:rPr>
        <w:t> </w:t>
      </w:r>
      <w:r>
        <w:rPr/>
        <w:t>Vysoké</w:t>
      </w:r>
      <w:r>
        <w:rPr>
          <w:spacing w:val="-6"/>
        </w:rPr>
        <w:t> </w:t>
      </w:r>
      <w:r>
        <w:rPr/>
        <w:t>Mýto</w:t>
      </w:r>
      <w:r>
        <w:rPr>
          <w:spacing w:val="-6"/>
        </w:rPr>
        <w:t> </w:t>
      </w:r>
      <w:r>
        <w:rPr/>
        <w:t>FVE-1.</w:t>
      </w:r>
      <w:r>
        <w:rPr>
          <w:spacing w:val="-6"/>
        </w:rPr>
        <w:t> </w:t>
      </w:r>
      <w:r>
        <w:rPr>
          <w:spacing w:val="-2"/>
        </w:rPr>
        <w:t>etapa“</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114"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 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3"/>
        <w:rPr>
          <w:sz w:val="19"/>
        </w:rPr>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2</w:t>
      </w:r>
      <w:r>
        <w:rPr>
          <w:b/>
          <w:spacing w:val="-2"/>
          <w:sz w:val="20"/>
        </w:rPr>
        <w:t> </w:t>
      </w:r>
      <w:r>
        <w:rPr>
          <w:b/>
          <w:sz w:val="20"/>
        </w:rPr>
        <w:t>668</w:t>
      </w:r>
      <w:r>
        <w:rPr>
          <w:b/>
          <w:spacing w:val="-1"/>
          <w:sz w:val="20"/>
        </w:rPr>
        <w:t> </w:t>
      </w:r>
      <w:r>
        <w:rPr>
          <w:b/>
          <w:sz w:val="20"/>
        </w:rPr>
        <w:t>305,00 Kč </w:t>
      </w:r>
      <w:r>
        <w:rPr>
          <w:sz w:val="20"/>
        </w:rPr>
        <w:t>(slovy: dva miliony šest set šedesát osm tisíc tři sta pět korun </w:t>
      </w:r>
      <w:r>
        <w:rPr>
          <w:spacing w:val="-2"/>
          <w:sz w:val="20"/>
        </w:rPr>
        <w:t>českých).</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5 376 143,55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pPr>
    </w:p>
    <w:p>
      <w:pPr>
        <w:pStyle w:val="Heading1"/>
        <w:spacing w:line="265" w:lineRule="exact"/>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0"/>
          <w:sz w:val="20"/>
        </w:rPr>
        <w:t> </w:t>
      </w:r>
      <w:r>
        <w:rPr>
          <w:sz w:val="20"/>
        </w:rPr>
        <w:t>bankovním</w:t>
      </w:r>
      <w:r>
        <w:rPr>
          <w:spacing w:val="22"/>
          <w:sz w:val="20"/>
        </w:rPr>
        <w:t> </w:t>
      </w:r>
      <w:r>
        <w:rPr>
          <w:sz w:val="20"/>
        </w:rPr>
        <w:t>převodem</w:t>
      </w:r>
      <w:r>
        <w:rPr>
          <w:spacing w:val="21"/>
          <w:sz w:val="20"/>
        </w:rPr>
        <w:t> </w:t>
      </w:r>
      <w:r>
        <w:rPr>
          <w:sz w:val="20"/>
        </w:rPr>
        <w:t>peněžních</w:t>
      </w:r>
      <w:r>
        <w:rPr>
          <w:spacing w:val="21"/>
          <w:sz w:val="20"/>
        </w:rPr>
        <w:t> </w:t>
      </w:r>
      <w:r>
        <w:rPr>
          <w:sz w:val="20"/>
        </w:rPr>
        <w:t>prostředků</w:t>
      </w:r>
      <w:r>
        <w:rPr>
          <w:spacing w:val="20"/>
          <w:sz w:val="20"/>
        </w:rPr>
        <w:t> </w:t>
      </w:r>
      <w:r>
        <w:rPr>
          <w:sz w:val="20"/>
        </w:rPr>
        <w:t>z</w:t>
      </w:r>
      <w:r>
        <w:rPr>
          <w:spacing w:val="21"/>
          <w:sz w:val="20"/>
        </w:rPr>
        <w:t> </w:t>
      </w:r>
      <w:r>
        <w:rPr>
          <w:sz w:val="20"/>
        </w:rPr>
        <w:t>bankovního</w:t>
      </w:r>
      <w:r>
        <w:rPr>
          <w:spacing w:val="21"/>
          <w:sz w:val="20"/>
        </w:rPr>
        <w:t> </w:t>
      </w:r>
      <w:r>
        <w:rPr>
          <w:sz w:val="20"/>
        </w:rPr>
        <w:t>účtu</w:t>
      </w:r>
      <w:r>
        <w:rPr>
          <w:spacing w:val="19"/>
          <w:sz w:val="20"/>
        </w:rPr>
        <w:t> </w:t>
      </w:r>
      <w:r>
        <w:rPr>
          <w:sz w:val="20"/>
        </w:rPr>
        <w:t>Fondu</w:t>
      </w:r>
      <w:r>
        <w:rPr>
          <w:spacing w:val="24"/>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5"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w:t>
      </w:r>
      <w:r>
        <w:rPr>
          <w:spacing w:val="33"/>
          <w:sz w:val="20"/>
        </w:rPr>
        <w:t> </w:t>
      </w:r>
      <w:r>
        <w:rPr>
          <w:sz w:val="20"/>
        </w:rPr>
        <w:t>AIS</w:t>
      </w:r>
      <w:r>
        <w:rPr>
          <w:spacing w:val="32"/>
          <w:sz w:val="20"/>
        </w:rPr>
        <w:t> </w:t>
      </w:r>
      <w:r>
        <w:rPr>
          <w:sz w:val="20"/>
        </w:rPr>
        <w:t>SFŽP</w:t>
      </w:r>
      <w:r>
        <w:rPr>
          <w:spacing w:val="35"/>
          <w:sz w:val="20"/>
        </w:rPr>
        <w:t> </w:t>
      </w:r>
      <w:r>
        <w:rPr>
          <w:sz w:val="20"/>
        </w:rPr>
        <w:t>a</w:t>
      </w:r>
      <w:r>
        <w:rPr>
          <w:spacing w:val="31"/>
          <w:sz w:val="20"/>
        </w:rPr>
        <w:t> </w:t>
      </w:r>
      <w:r>
        <w:rPr>
          <w:sz w:val="20"/>
        </w:rPr>
        <w:t>v závislosti</w:t>
      </w:r>
      <w:r>
        <w:rPr>
          <w:spacing w:val="32"/>
          <w:sz w:val="20"/>
        </w:rPr>
        <w:t> </w:t>
      </w:r>
      <w:r>
        <w:rPr>
          <w:sz w:val="20"/>
        </w:rPr>
        <w:t>na</w:t>
      </w:r>
      <w:r>
        <w:rPr>
          <w:spacing w:val="31"/>
          <w:sz w:val="20"/>
        </w:rPr>
        <w:t> </w:t>
      </w:r>
      <w:r>
        <w:rPr>
          <w:sz w:val="20"/>
        </w:rPr>
        <w:t>výši</w:t>
      </w:r>
      <w:r>
        <w:rPr>
          <w:spacing w:val="31"/>
          <w:sz w:val="20"/>
        </w:rPr>
        <w:t> </w:t>
      </w:r>
      <w:r>
        <w:rPr>
          <w:sz w:val="20"/>
        </w:rPr>
        <w:t>disponibilních</w:t>
      </w:r>
      <w:r>
        <w:rPr>
          <w:spacing w:val="32"/>
          <w:sz w:val="20"/>
        </w:rPr>
        <w:t> </w:t>
      </w:r>
      <w:r>
        <w:rPr>
          <w:sz w:val="20"/>
        </w:rPr>
        <w:t>prostředků</w:t>
      </w:r>
      <w:r>
        <w:rPr>
          <w:spacing w:val="32"/>
          <w:sz w:val="20"/>
        </w:rPr>
        <w:t> </w:t>
      </w:r>
      <w:r>
        <w:rPr>
          <w:sz w:val="20"/>
        </w:rPr>
        <w:t>a</w:t>
      </w:r>
      <w:r>
        <w:rPr>
          <w:spacing w:val="31"/>
          <w:sz w:val="20"/>
        </w:rPr>
        <w:t> </w:t>
      </w:r>
      <w:r>
        <w:rPr>
          <w:sz w:val="20"/>
        </w:rPr>
        <w:t>plnění</w:t>
      </w:r>
      <w:r>
        <w:rPr>
          <w:spacing w:val="32"/>
          <w:sz w:val="20"/>
        </w:rPr>
        <w:t> </w:t>
      </w:r>
      <w:r>
        <w:rPr>
          <w:sz w:val="20"/>
        </w:rPr>
        <w:t>výdajového</w:t>
      </w:r>
      <w:r>
        <w:rPr>
          <w:spacing w:val="32"/>
          <w:sz w:val="20"/>
        </w:rPr>
        <w:t> </w:t>
      </w:r>
      <w:r>
        <w:rPr>
          <w:sz w:val="20"/>
        </w:rPr>
        <w:t>limitu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pPr>
      <w:r>
        <w:rPr>
          <w:spacing w:val="-2"/>
        </w:rPr>
        <w:t>Fondu.</w:t>
      </w:r>
    </w:p>
    <w:p>
      <w:pPr>
        <w:pStyle w:val="ListParagraph"/>
        <w:numPr>
          <w:ilvl w:val="0"/>
          <w:numId w:val="3"/>
        </w:numPr>
        <w:tabs>
          <w:tab w:pos="386" w:val="left" w:leader="none"/>
        </w:tabs>
        <w:spacing w:line="240" w:lineRule="auto" w:before="120"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1" w:hanging="360"/>
        <w:jc w:val="left"/>
        <w:rPr>
          <w:sz w:val="20"/>
        </w:rPr>
      </w:pPr>
      <w:r>
        <w:rPr>
          <w:sz w:val="20"/>
        </w:rPr>
        <w:t>splní</w:t>
      </w:r>
      <w:r>
        <w:rPr>
          <w:spacing w:val="-4"/>
          <w:sz w:val="20"/>
        </w:rPr>
        <w:t> </w:t>
      </w:r>
      <w:r>
        <w:rPr>
          <w:sz w:val="20"/>
        </w:rPr>
        <w:t>účel</w:t>
      </w:r>
      <w:r>
        <w:rPr>
          <w:spacing w:val="-4"/>
          <w:sz w:val="20"/>
        </w:rPr>
        <w:t> </w:t>
      </w:r>
      <w:r>
        <w:rPr>
          <w:sz w:val="20"/>
        </w:rPr>
        <w:t>akce</w:t>
      </w:r>
      <w:r>
        <w:rPr>
          <w:spacing w:val="-4"/>
          <w:sz w:val="20"/>
        </w:rPr>
        <w:t> </w:t>
      </w:r>
      <w:r>
        <w:rPr>
          <w:sz w:val="20"/>
        </w:rPr>
        <w:t>„Město</w:t>
      </w:r>
      <w:r>
        <w:rPr>
          <w:spacing w:val="-3"/>
          <w:sz w:val="20"/>
        </w:rPr>
        <w:t> </w:t>
      </w:r>
      <w:r>
        <w:rPr>
          <w:sz w:val="20"/>
        </w:rPr>
        <w:t>Vysoké</w:t>
      </w:r>
      <w:r>
        <w:rPr>
          <w:spacing w:val="-4"/>
          <w:sz w:val="20"/>
        </w:rPr>
        <w:t> </w:t>
      </w:r>
      <w:r>
        <w:rPr>
          <w:sz w:val="20"/>
        </w:rPr>
        <w:t>Mýto</w:t>
      </w:r>
      <w:r>
        <w:rPr>
          <w:spacing w:val="-3"/>
          <w:sz w:val="20"/>
        </w:rPr>
        <w:t> </w:t>
      </w:r>
      <w:r>
        <w:rPr>
          <w:sz w:val="20"/>
        </w:rPr>
        <w:t>FVE-1.</w:t>
      </w:r>
      <w:r>
        <w:rPr>
          <w:spacing w:val="-4"/>
          <w:sz w:val="20"/>
        </w:rPr>
        <w:t> </w:t>
      </w:r>
      <w:r>
        <w:rPr>
          <w:sz w:val="20"/>
        </w:rPr>
        <w:t>etapa“</w:t>
      </w:r>
      <w:r>
        <w:rPr>
          <w:spacing w:val="-4"/>
          <w:sz w:val="20"/>
        </w:rPr>
        <w:t> </w:t>
      </w:r>
      <w:r>
        <w:rPr>
          <w:sz w:val="20"/>
        </w:rPr>
        <w:t>tím,</w:t>
      </w:r>
      <w:r>
        <w:rPr>
          <w:spacing w:val="-4"/>
          <w:sz w:val="20"/>
        </w:rPr>
        <w:t> </w:t>
      </w:r>
      <w:r>
        <w:rPr>
          <w:sz w:val="20"/>
        </w:rPr>
        <w:t>že</w:t>
      </w:r>
      <w:r>
        <w:rPr>
          <w:spacing w:val="-4"/>
          <w:sz w:val="20"/>
        </w:rPr>
        <w:t> </w:t>
      </w:r>
      <w:r>
        <w:rPr>
          <w:sz w:val="20"/>
        </w:rPr>
        <w:t>akce</w:t>
      </w:r>
      <w:r>
        <w:rPr>
          <w:spacing w:val="-4"/>
          <w:sz w:val="20"/>
        </w:rPr>
        <w:t> </w:t>
      </w:r>
      <w:r>
        <w:rPr>
          <w:sz w:val="20"/>
        </w:rPr>
        <w:t>bude</w:t>
      </w:r>
      <w:r>
        <w:rPr>
          <w:spacing w:val="-4"/>
          <w:sz w:val="20"/>
        </w:rPr>
        <w:t> </w:t>
      </w:r>
      <w:r>
        <w:rPr>
          <w:sz w:val="20"/>
        </w:rPr>
        <w:t>provedena</w:t>
      </w:r>
      <w:r>
        <w:rPr>
          <w:spacing w:val="-4"/>
          <w:sz w:val="20"/>
        </w:rPr>
        <w:t> </w:t>
      </w:r>
      <w:r>
        <w:rPr>
          <w:sz w:val="20"/>
        </w:rPr>
        <w:t>v souladu</w:t>
      </w:r>
      <w:r>
        <w:rPr>
          <w:spacing w:val="-3"/>
          <w:sz w:val="20"/>
        </w:rPr>
        <w:t> </w:t>
      </w:r>
      <w:r>
        <w:rPr>
          <w:sz w:val="20"/>
        </w:rPr>
        <w:t>s</w:t>
      </w:r>
      <w:r>
        <w:rPr>
          <w:spacing w:val="-2"/>
          <w:sz w:val="20"/>
        </w:rPr>
        <w:t> </w:t>
      </w:r>
      <w:r>
        <w:rPr>
          <w:sz w:val="20"/>
        </w:rPr>
        <w:t>Výzvou, žádostí o podporu a jejími přílohami a touto Smlouvou,</w:t>
      </w:r>
    </w:p>
    <w:p>
      <w:pPr>
        <w:pStyle w:val="ListParagraph"/>
        <w:numPr>
          <w:ilvl w:val="1"/>
          <w:numId w:val="4"/>
        </w:numPr>
        <w:tabs>
          <w:tab w:pos="746" w:val="left" w:leader="none"/>
          <w:tab w:pos="1668" w:val="left" w:leader="none"/>
          <w:tab w:pos="2625" w:val="left" w:leader="none"/>
          <w:tab w:pos="3351" w:val="left" w:leader="none"/>
          <w:tab w:pos="4489" w:val="left" w:leader="none"/>
          <w:tab w:pos="5140" w:val="left" w:leader="none"/>
          <w:tab w:pos="6500" w:val="left" w:leader="none"/>
          <w:tab w:pos="7596" w:val="left" w:leader="none"/>
          <w:tab w:pos="8005" w:val="left" w:leader="none"/>
          <w:tab w:pos="8794" w:val="left" w:leader="none"/>
        </w:tabs>
        <w:spacing w:line="240" w:lineRule="auto" w:before="106" w:after="0"/>
        <w:ind w:left="745" w:right="0" w:hanging="361"/>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1"/>
        <w:ind w:left="745"/>
      </w:pPr>
      <w:r>
        <w:rPr/>
        <w:t>s</w:t>
      </w:r>
      <w:r>
        <w:rPr>
          <w:spacing w:val="-8"/>
        </w:rPr>
        <w:t> </w:t>
      </w:r>
      <w:r>
        <w:rPr/>
        <w:t>předpokládaným</w:t>
      </w:r>
      <w:r>
        <w:rPr>
          <w:spacing w:val="-6"/>
        </w:rPr>
        <w:t> </w:t>
      </w:r>
      <w:r>
        <w:rPr/>
        <w:t>výkonem</w:t>
      </w:r>
      <w:r>
        <w:rPr>
          <w:spacing w:val="-5"/>
        </w:rPr>
        <w:t> </w:t>
      </w:r>
      <w:r>
        <w:rPr/>
        <w:t>110</w:t>
      </w:r>
      <w:r>
        <w:rPr>
          <w:spacing w:val="-3"/>
        </w:rPr>
        <w:t> </w:t>
      </w:r>
      <w:r>
        <w:rPr/>
        <w:t>kWp,</w:t>
      </w:r>
      <w:r>
        <w:rPr>
          <w:spacing w:val="-6"/>
        </w:rPr>
        <w:t> </w:t>
      </w:r>
      <w:r>
        <w:rPr/>
        <w:t>instalací</w:t>
      </w:r>
      <w:r>
        <w:rPr>
          <w:spacing w:val="-7"/>
        </w:rPr>
        <w:t> </w:t>
      </w:r>
      <w:r>
        <w:rPr/>
        <w:t>akumulace</w:t>
      </w:r>
      <w:r>
        <w:rPr>
          <w:spacing w:val="-7"/>
        </w:rPr>
        <w:t> </w:t>
      </w:r>
      <w:r>
        <w:rPr/>
        <w:t>o</w:t>
      </w:r>
      <w:r>
        <w:rPr>
          <w:spacing w:val="-6"/>
        </w:rPr>
        <w:t> </w:t>
      </w:r>
      <w:r>
        <w:rPr/>
        <w:t>kapacitě</w:t>
      </w:r>
      <w:r>
        <w:rPr>
          <w:spacing w:val="-7"/>
        </w:rPr>
        <w:t> </w:t>
      </w:r>
      <w:r>
        <w:rPr/>
        <w:t>61,44</w:t>
      </w:r>
      <w:r>
        <w:rPr>
          <w:spacing w:val="-7"/>
        </w:rPr>
        <w:t> </w:t>
      </w:r>
      <w:r>
        <w:rPr>
          <w:spacing w:val="-4"/>
        </w:rPr>
        <w:t>kWh,</w:t>
      </w:r>
    </w:p>
    <w:p>
      <w:pPr>
        <w:pStyle w:val="ListParagraph"/>
        <w:numPr>
          <w:ilvl w:val="1"/>
          <w:numId w:val="4"/>
        </w:numPr>
        <w:tabs>
          <w:tab w:pos="745" w:val="left" w:leader="none"/>
          <w:tab w:pos="746" w:val="left" w:leader="none"/>
        </w:tabs>
        <w:spacing w:line="240" w:lineRule="auto" w:before="120"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51"/>
        <w:gridCol w:w="1644"/>
        <w:gridCol w:w="1625"/>
        <w:gridCol w:w="1608"/>
      </w:tblGrid>
      <w:tr>
        <w:trPr>
          <w:trHeight w:val="772" w:hRule="atLeast"/>
        </w:trPr>
        <w:tc>
          <w:tcPr>
            <w:tcW w:w="3951" w:type="dxa"/>
          </w:tcPr>
          <w:p>
            <w:pPr>
              <w:pStyle w:val="TableParagraph"/>
              <w:spacing w:before="120"/>
              <w:ind w:left="105"/>
              <w:rPr>
                <w:b/>
                <w:sz w:val="20"/>
              </w:rPr>
            </w:pPr>
            <w:r>
              <w:rPr>
                <w:b/>
                <w:spacing w:val="-2"/>
                <w:sz w:val="20"/>
              </w:rPr>
              <w:t>Indikátor</w:t>
            </w:r>
          </w:p>
        </w:tc>
        <w:tc>
          <w:tcPr>
            <w:tcW w:w="1644" w:type="dxa"/>
          </w:tcPr>
          <w:p>
            <w:pPr>
              <w:pStyle w:val="TableParagraph"/>
              <w:spacing w:before="120"/>
              <w:ind w:left="107"/>
              <w:rPr>
                <w:b/>
                <w:sz w:val="20"/>
              </w:rPr>
            </w:pPr>
            <w:r>
              <w:rPr>
                <w:b/>
                <w:spacing w:val="-2"/>
                <w:sz w:val="20"/>
              </w:rPr>
              <w:t>Jednotka</w:t>
            </w:r>
          </w:p>
        </w:tc>
        <w:tc>
          <w:tcPr>
            <w:tcW w:w="1625"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08" w:type="dxa"/>
          </w:tcPr>
          <w:p>
            <w:pPr>
              <w:pStyle w:val="TableParagraph"/>
              <w:spacing w:before="120"/>
              <w:ind w:left="108"/>
              <w:rPr>
                <w:b/>
                <w:sz w:val="20"/>
              </w:rPr>
            </w:pPr>
            <w:r>
              <w:rPr>
                <w:b/>
                <w:spacing w:val="-2"/>
                <w:sz w:val="20"/>
              </w:rPr>
              <w:t>Cílová</w:t>
            </w:r>
          </w:p>
          <w:p>
            <w:pPr>
              <w:pStyle w:val="TableParagraph"/>
              <w:ind w:left="108"/>
              <w:rPr>
                <w:b/>
                <w:sz w:val="20"/>
              </w:rPr>
            </w:pPr>
            <w:r>
              <w:rPr>
                <w:b/>
                <w:spacing w:val="-2"/>
                <w:sz w:val="20"/>
              </w:rPr>
              <w:t>hodnota</w:t>
            </w:r>
          </w:p>
        </w:tc>
      </w:tr>
      <w:tr>
        <w:trPr>
          <w:trHeight w:val="530" w:hRule="atLeast"/>
        </w:trPr>
        <w:tc>
          <w:tcPr>
            <w:tcW w:w="3951" w:type="dxa"/>
          </w:tcPr>
          <w:p>
            <w:pPr>
              <w:pStyle w:val="TableParagraph"/>
              <w:spacing w:line="265" w:lineRule="exact"/>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5"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4" w:type="dxa"/>
          </w:tcPr>
          <w:p>
            <w:pPr>
              <w:pStyle w:val="TableParagraph"/>
              <w:spacing w:before="120"/>
              <w:ind w:left="390"/>
              <w:rPr>
                <w:sz w:val="20"/>
              </w:rPr>
            </w:pPr>
            <w:r>
              <w:rPr>
                <w:spacing w:val="-5"/>
                <w:sz w:val="20"/>
              </w:rPr>
              <w:t>kWh</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61.44</w:t>
            </w:r>
          </w:p>
        </w:tc>
      </w:tr>
      <w:tr>
        <w:trPr>
          <w:trHeight w:val="505" w:hRule="atLeast"/>
        </w:trPr>
        <w:tc>
          <w:tcPr>
            <w:tcW w:w="3951"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4" w:type="dxa"/>
          </w:tcPr>
          <w:p>
            <w:pPr>
              <w:pStyle w:val="TableParagraph"/>
              <w:spacing w:before="122"/>
              <w:ind w:left="390"/>
              <w:rPr>
                <w:sz w:val="20"/>
              </w:rPr>
            </w:pPr>
            <w:r>
              <w:rPr>
                <w:spacing w:val="-5"/>
                <w:sz w:val="20"/>
              </w:rPr>
              <w:t>kWp</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5"/>
                <w:sz w:val="20"/>
              </w:rPr>
              <w:t>110</w:t>
            </w:r>
          </w:p>
        </w:tc>
      </w:tr>
      <w:tr>
        <w:trPr>
          <w:trHeight w:val="508" w:hRule="atLeast"/>
        </w:trPr>
        <w:tc>
          <w:tcPr>
            <w:tcW w:w="3951" w:type="dxa"/>
          </w:tcPr>
          <w:p>
            <w:pPr>
              <w:pStyle w:val="TableParagraph"/>
              <w:spacing w:before="2"/>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4" w:type="dxa"/>
          </w:tcPr>
          <w:p>
            <w:pPr>
              <w:pStyle w:val="TableParagraph"/>
              <w:spacing w:before="122"/>
              <w:ind w:left="0" w:right="374"/>
              <w:jc w:val="right"/>
              <w:rPr>
                <w:sz w:val="20"/>
              </w:rPr>
            </w:pPr>
            <w:r>
              <w:rPr>
                <w:sz w:val="20"/>
              </w:rPr>
              <w:t>t</w:t>
            </w:r>
            <w:r>
              <w:rPr>
                <w:spacing w:val="-2"/>
                <w:sz w:val="20"/>
              </w:rPr>
              <w:t> CO2/rok</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71.94</w:t>
            </w:r>
          </w:p>
        </w:tc>
      </w:tr>
      <w:tr>
        <w:trPr>
          <w:trHeight w:val="530" w:hRule="atLeast"/>
        </w:trPr>
        <w:tc>
          <w:tcPr>
            <w:tcW w:w="3951" w:type="dxa"/>
          </w:tcPr>
          <w:p>
            <w:pPr>
              <w:pStyle w:val="TableParagraph"/>
              <w:spacing w:line="264"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4" w:type="dxa"/>
          </w:tcPr>
          <w:p>
            <w:pPr>
              <w:pStyle w:val="TableParagraph"/>
              <w:spacing w:before="120"/>
              <w:ind w:left="0" w:right="398"/>
              <w:jc w:val="right"/>
              <w:rPr>
                <w:sz w:val="20"/>
              </w:rPr>
            </w:pPr>
            <w:r>
              <w:rPr>
                <w:spacing w:val="-2"/>
                <w:sz w:val="20"/>
              </w:rPr>
              <w:t>MWh/rok</w:t>
            </w:r>
          </w:p>
        </w:tc>
        <w:tc>
          <w:tcPr>
            <w:tcW w:w="1625" w:type="dxa"/>
          </w:tcPr>
          <w:p>
            <w:pPr>
              <w:pStyle w:val="TableParagraph"/>
              <w:spacing w:before="120"/>
              <w:ind w:left="388"/>
              <w:rPr>
                <w:sz w:val="20"/>
              </w:rPr>
            </w:pPr>
            <w:r>
              <w:rPr>
                <w:w w:val="99"/>
                <w:sz w:val="20"/>
              </w:rPr>
              <w:t>0</w:t>
            </w:r>
          </w:p>
        </w:tc>
        <w:tc>
          <w:tcPr>
            <w:tcW w:w="1608" w:type="dxa"/>
          </w:tcPr>
          <w:p>
            <w:pPr>
              <w:pStyle w:val="TableParagraph"/>
              <w:spacing w:before="120"/>
              <w:ind w:left="391"/>
              <w:rPr>
                <w:sz w:val="20"/>
              </w:rPr>
            </w:pPr>
            <w:r>
              <w:rPr>
                <w:spacing w:val="-2"/>
                <w:sz w:val="20"/>
              </w:rPr>
              <w:t>217.49</w:t>
            </w:r>
          </w:p>
        </w:tc>
      </w:tr>
      <w:tr>
        <w:trPr>
          <w:trHeight w:val="508" w:hRule="atLeast"/>
        </w:trPr>
        <w:tc>
          <w:tcPr>
            <w:tcW w:w="395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4" w:type="dxa"/>
          </w:tcPr>
          <w:p>
            <w:pPr>
              <w:pStyle w:val="TableParagraph"/>
              <w:spacing w:before="122"/>
              <w:ind w:left="0" w:right="398"/>
              <w:jc w:val="right"/>
              <w:rPr>
                <w:sz w:val="20"/>
              </w:rPr>
            </w:pPr>
            <w:r>
              <w:rPr>
                <w:spacing w:val="-2"/>
                <w:sz w:val="20"/>
              </w:rPr>
              <w:t>MWh/rok</w:t>
            </w:r>
          </w:p>
        </w:tc>
        <w:tc>
          <w:tcPr>
            <w:tcW w:w="1625" w:type="dxa"/>
          </w:tcPr>
          <w:p>
            <w:pPr>
              <w:pStyle w:val="TableParagraph"/>
              <w:spacing w:before="122"/>
              <w:ind w:left="388"/>
              <w:rPr>
                <w:sz w:val="20"/>
              </w:rPr>
            </w:pPr>
            <w:r>
              <w:rPr>
                <w:w w:val="99"/>
                <w:sz w:val="20"/>
              </w:rPr>
              <w:t>0</w:t>
            </w:r>
          </w:p>
        </w:tc>
        <w:tc>
          <w:tcPr>
            <w:tcW w:w="1608" w:type="dxa"/>
          </w:tcPr>
          <w:p>
            <w:pPr>
              <w:pStyle w:val="TableParagraph"/>
              <w:spacing w:before="122"/>
              <w:ind w:left="391"/>
              <w:rPr>
                <w:sz w:val="20"/>
              </w:rPr>
            </w:pPr>
            <w:r>
              <w:rPr>
                <w:spacing w:val="-2"/>
                <w:sz w:val="20"/>
              </w:rPr>
              <w:t>83.65</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5</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9"/>
        </w:rPr>
        <w:t> </w:t>
      </w:r>
      <w:r>
        <w:rPr/>
        <w:t>termín</w:t>
      </w:r>
      <w:r>
        <w:rPr>
          <w:spacing w:val="-11"/>
        </w:rPr>
        <w:t> </w:t>
      </w:r>
      <w:r>
        <w:rPr/>
        <w:t>schválení</w:t>
      </w:r>
      <w:r>
        <w:rPr>
          <w:spacing w:val="-10"/>
        </w:rPr>
        <w:t> </w:t>
      </w:r>
      <w:r>
        <w:rPr/>
        <w:t>protokolu</w:t>
      </w:r>
      <w:r>
        <w:rPr>
          <w:spacing w:val="-8"/>
        </w:rPr>
        <w:t> </w:t>
      </w:r>
      <w:r>
        <w:rPr/>
        <w:t>o</w:t>
      </w:r>
      <w:r>
        <w:rPr>
          <w:spacing w:val="-8"/>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0"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ind w:left="745"/>
        <w:jc w:val="both"/>
      </w:pPr>
      <w:r>
        <w:rPr/>
        <w:t>o</w:t>
      </w:r>
      <w:r>
        <w:rPr>
          <w:spacing w:val="-4"/>
        </w:rPr>
        <w:t> </w:t>
      </w:r>
      <w:r>
        <w:rPr/>
        <w:t>případném</w:t>
      </w:r>
      <w:r>
        <w:rPr>
          <w:spacing w:val="20"/>
        </w:rPr>
        <w:t> </w:t>
      </w:r>
      <w:r>
        <w:rPr/>
        <w:t>stavění</w:t>
      </w:r>
      <w:r>
        <w:rPr>
          <w:spacing w:val="20"/>
        </w:rPr>
        <w:t> </w:t>
      </w:r>
      <w:r>
        <w:rPr/>
        <w:t>uvedené</w:t>
      </w:r>
      <w:r>
        <w:rPr>
          <w:spacing w:val="19"/>
        </w:rPr>
        <w:t> </w:t>
      </w:r>
      <w:r>
        <w:rPr/>
        <w:t>lhůty.</w:t>
      </w:r>
      <w:r>
        <w:rPr>
          <w:spacing w:val="20"/>
        </w:rPr>
        <w:t> </w:t>
      </w:r>
      <w:r>
        <w:rPr/>
        <w:t>Příjemce</w:t>
      </w:r>
      <w:r>
        <w:rPr>
          <w:spacing w:val="19"/>
        </w:rPr>
        <w:t> </w:t>
      </w:r>
      <w:r>
        <w:rPr/>
        <w:t>podpory</w:t>
      </w:r>
      <w:r>
        <w:rPr>
          <w:spacing w:val="21"/>
        </w:rPr>
        <w:t> </w:t>
      </w:r>
      <w:r>
        <w:rPr/>
        <w:t>je</w:t>
      </w:r>
      <w:r>
        <w:rPr>
          <w:spacing w:val="19"/>
        </w:rPr>
        <w:t> </w:t>
      </w:r>
      <w:r>
        <w:rPr/>
        <w:t>v</w:t>
      </w:r>
      <w:r>
        <w:rPr>
          <w:spacing w:val="1"/>
        </w:rPr>
        <w:t> </w:t>
      </w:r>
      <w:r>
        <w:rPr/>
        <w:t>takovém</w:t>
      </w:r>
      <w:r>
        <w:rPr>
          <w:spacing w:val="21"/>
        </w:rPr>
        <w:t> </w:t>
      </w:r>
      <w:r>
        <w:rPr/>
        <w:t>případě</w:t>
      </w:r>
      <w:r>
        <w:rPr>
          <w:spacing w:val="19"/>
        </w:rPr>
        <w:t> </w:t>
      </w:r>
      <w:r>
        <w:rPr/>
        <w:t>povinen</w:t>
      </w:r>
      <w:r>
        <w:rPr>
          <w:spacing w:val="20"/>
        </w:rPr>
        <w:t> </w:t>
      </w:r>
      <w:r>
        <w:rPr/>
        <w:t>zajistit,</w:t>
      </w:r>
      <w:r>
        <w:rPr>
          <w:spacing w:val="20"/>
        </w:rPr>
        <w:t> </w:t>
      </w:r>
      <w:r>
        <w:rPr>
          <w:spacing w:val="-5"/>
        </w:rPr>
        <w:t>aby</w:t>
      </w:r>
    </w:p>
    <w:p>
      <w:pPr>
        <w:pStyle w:val="BodyText"/>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18" w:after="0"/>
        <w:ind w:left="745" w:right="0" w:hanging="361"/>
        <w:jc w:val="both"/>
        <w:rPr>
          <w:sz w:val="20"/>
        </w:rPr>
      </w:pPr>
      <w:r>
        <w:rPr>
          <w:sz w:val="20"/>
        </w:rPr>
        <w:t>příjemce</w:t>
      </w:r>
      <w:r>
        <w:rPr>
          <w:spacing w:val="10"/>
          <w:sz w:val="20"/>
        </w:rPr>
        <w:t> </w:t>
      </w:r>
      <w:r>
        <w:rPr>
          <w:sz w:val="20"/>
        </w:rPr>
        <w:t>podpory</w:t>
      </w:r>
      <w:r>
        <w:rPr>
          <w:spacing w:val="12"/>
          <w:sz w:val="20"/>
        </w:rPr>
        <w:t> </w:t>
      </w:r>
      <w:r>
        <w:rPr>
          <w:sz w:val="20"/>
        </w:rPr>
        <w:t>ponechá</w:t>
      </w:r>
      <w:r>
        <w:rPr>
          <w:spacing w:val="12"/>
          <w:sz w:val="20"/>
        </w:rPr>
        <w:t> </w:t>
      </w:r>
      <w:r>
        <w:rPr>
          <w:sz w:val="20"/>
        </w:rPr>
        <w:t>předmět</w:t>
      </w:r>
      <w:r>
        <w:rPr>
          <w:spacing w:val="12"/>
          <w:sz w:val="20"/>
        </w:rPr>
        <w:t> </w:t>
      </w:r>
      <w:r>
        <w:rPr>
          <w:sz w:val="20"/>
        </w:rPr>
        <w:t>podpory</w:t>
      </w:r>
      <w:r>
        <w:rPr>
          <w:spacing w:val="11"/>
          <w:sz w:val="20"/>
        </w:rPr>
        <w:t> </w:t>
      </w:r>
      <w:r>
        <w:rPr>
          <w:sz w:val="20"/>
        </w:rPr>
        <w:t>ve</w:t>
      </w:r>
      <w:r>
        <w:rPr>
          <w:spacing w:val="11"/>
          <w:sz w:val="20"/>
        </w:rPr>
        <w:t> </w:t>
      </w:r>
      <w:r>
        <w:rPr>
          <w:sz w:val="20"/>
        </w:rPr>
        <w:t>svém</w:t>
      </w:r>
      <w:r>
        <w:rPr>
          <w:spacing w:val="13"/>
          <w:sz w:val="20"/>
        </w:rPr>
        <w:t> </w:t>
      </w:r>
      <w:r>
        <w:rPr>
          <w:sz w:val="20"/>
        </w:rPr>
        <w:t>vlastnictví</w:t>
      </w:r>
      <w:r>
        <w:rPr>
          <w:spacing w:val="11"/>
          <w:sz w:val="20"/>
        </w:rPr>
        <w:t> </w:t>
      </w:r>
      <w:r>
        <w:rPr>
          <w:sz w:val="20"/>
        </w:rPr>
        <w:t>alespoň</w:t>
      </w:r>
      <w:r>
        <w:rPr>
          <w:spacing w:val="12"/>
          <w:sz w:val="20"/>
        </w:rPr>
        <w:t> </w:t>
      </w:r>
      <w:r>
        <w:rPr>
          <w:sz w:val="20"/>
        </w:rPr>
        <w:t>po</w:t>
      </w:r>
      <w:r>
        <w:rPr>
          <w:spacing w:val="12"/>
          <w:sz w:val="20"/>
        </w:rPr>
        <w:t> </w:t>
      </w:r>
      <w:r>
        <w:rPr>
          <w:sz w:val="20"/>
        </w:rPr>
        <w:t>dobu</w:t>
      </w:r>
      <w:r>
        <w:rPr>
          <w:spacing w:val="18"/>
          <w:sz w:val="20"/>
        </w:rPr>
        <w:t> </w:t>
      </w:r>
      <w:r>
        <w:rPr>
          <w:sz w:val="20"/>
        </w:rPr>
        <w:t>udržitelnosti</w:t>
      </w:r>
      <w:r>
        <w:rPr>
          <w:spacing w:val="13"/>
          <w:sz w:val="20"/>
        </w:rPr>
        <w:t> </w:t>
      </w:r>
      <w:r>
        <w:rPr>
          <w:spacing w:val="-10"/>
          <w:sz w:val="20"/>
        </w:rPr>
        <w:t>–</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1"/>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7"/>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pPr>
    </w:p>
    <w:p>
      <w:pPr>
        <w:pStyle w:val="Heading1"/>
        <w:spacing w:line="265" w:lineRule="exact" w:before="1"/>
      </w:pPr>
      <w:r>
        <w:rPr>
          <w:spacing w:val="-5"/>
        </w:rPr>
        <w:t>VI.</w:t>
      </w:r>
    </w:p>
    <w:p>
      <w:pPr>
        <w:pStyle w:val="Heading2"/>
        <w:spacing w:line="265" w:lineRule="exact"/>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65" w:lineRule="exact"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line="265" w:lineRule="exac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65"/>
        </w:rPr>
        <w:t> </w:t>
      </w:r>
      <w:r>
        <w:rPr/>
        <w:t>č.</w:t>
      </w:r>
      <w:r>
        <w:rPr>
          <w:spacing w:val="66"/>
        </w:rPr>
        <w:t> </w:t>
      </w:r>
      <w:r>
        <w:rPr/>
        <w:t>1</w:t>
      </w:r>
      <w:r>
        <w:rPr>
          <w:spacing w:val="67"/>
        </w:rPr>
        <w:t> </w:t>
      </w:r>
      <w:r>
        <w:rPr/>
        <w:t>–</w:t>
      </w:r>
      <w:r>
        <w:rPr>
          <w:spacing w:val="67"/>
        </w:rPr>
        <w:t> </w:t>
      </w:r>
      <w:r>
        <w:rPr/>
        <w:t>Stanovení</w:t>
      </w:r>
      <w:r>
        <w:rPr>
          <w:spacing w:val="66"/>
        </w:rPr>
        <w:t> </w:t>
      </w:r>
      <w:r>
        <w:rPr/>
        <w:t>výše</w:t>
      </w:r>
      <w:r>
        <w:rPr>
          <w:spacing w:val="64"/>
        </w:rPr>
        <w:t> </w:t>
      </w:r>
      <w:r>
        <w:rPr/>
        <w:t>odvodů,</w:t>
      </w:r>
      <w:r>
        <w:rPr>
          <w:spacing w:val="66"/>
        </w:rPr>
        <w:t> </w:t>
      </w:r>
      <w:r>
        <w:rPr/>
        <w:t>které</w:t>
      </w:r>
      <w:r>
        <w:rPr>
          <w:spacing w:val="65"/>
        </w:rPr>
        <w:t> </w:t>
      </w:r>
      <w:r>
        <w:rPr/>
        <w:t>se</w:t>
      </w:r>
      <w:r>
        <w:rPr>
          <w:spacing w:val="65"/>
        </w:rPr>
        <w:t> </w:t>
      </w:r>
      <w:r>
        <w:rPr/>
        <w:t>použijí</w:t>
      </w:r>
      <w:r>
        <w:rPr>
          <w:spacing w:val="65"/>
        </w:rPr>
        <w:t> </w:t>
      </w:r>
      <w:r>
        <w:rPr/>
        <w:t>v případě</w:t>
      </w:r>
      <w:r>
        <w:rPr>
          <w:spacing w:val="65"/>
        </w:rPr>
        <w:t> </w:t>
      </w:r>
      <w:r>
        <w:rPr/>
        <w:t>porušení</w:t>
      </w:r>
      <w:r>
        <w:rPr>
          <w:spacing w:val="65"/>
        </w:rPr>
        <w:t> </w:t>
      </w:r>
      <w:r>
        <w:rPr/>
        <w:t>povinností</w:t>
      </w:r>
      <w:r>
        <w:rPr>
          <w:spacing w:val="65"/>
        </w:rPr>
        <w:t> </w:t>
      </w:r>
      <w:r>
        <w:rPr/>
        <w:t>při</w:t>
      </w:r>
      <w:r>
        <w:rPr>
          <w:spacing w:val="65"/>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7"/>
          <w:sz w:val="20"/>
        </w:rPr>
        <w:t> </w:t>
      </w:r>
      <w:r>
        <w:rPr>
          <w:sz w:val="20"/>
        </w:rPr>
        <w:t>zakázky</w:t>
      </w:r>
      <w:r>
        <w:rPr>
          <w:spacing w:val="27"/>
          <w:sz w:val="20"/>
        </w:rPr>
        <w:t> </w:t>
      </w:r>
      <w:r>
        <w:rPr>
          <w:sz w:val="20"/>
        </w:rPr>
        <w:t>bude</w:t>
      </w:r>
      <w:r>
        <w:rPr>
          <w:spacing w:val="26"/>
          <w:sz w:val="20"/>
        </w:rPr>
        <w:t> </w:t>
      </w:r>
      <w:r>
        <w:rPr>
          <w:sz w:val="20"/>
        </w:rPr>
        <w:t>identifikováno</w:t>
      </w:r>
      <w:r>
        <w:rPr>
          <w:spacing w:val="31"/>
          <w:sz w:val="20"/>
        </w:rPr>
        <w:t> </w:t>
      </w:r>
      <w:r>
        <w:rPr>
          <w:sz w:val="20"/>
        </w:rPr>
        <w:t>více</w:t>
      </w:r>
      <w:r>
        <w:rPr>
          <w:spacing w:val="26"/>
          <w:sz w:val="20"/>
        </w:rPr>
        <w:t> </w:t>
      </w:r>
      <w:r>
        <w:rPr>
          <w:sz w:val="20"/>
        </w:rPr>
        <w:t>porušení,</w:t>
      </w:r>
      <w:r>
        <w:rPr>
          <w:spacing w:val="27"/>
          <w:sz w:val="20"/>
        </w:rPr>
        <w:t> </w:t>
      </w:r>
      <w:r>
        <w:rPr>
          <w:sz w:val="20"/>
        </w:rPr>
        <w:t>výše</w:t>
      </w:r>
      <w:r>
        <w:rPr>
          <w:spacing w:val="25"/>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1"/>
              <w:jc w:val="center"/>
              <w:rPr>
                <w:b/>
                <w:sz w:val="20"/>
              </w:rPr>
            </w:pPr>
            <w:r>
              <w:rPr>
                <w:b/>
                <w:sz w:val="20"/>
              </w:rPr>
              <w:t>Sazba</w:t>
            </w:r>
            <w:r>
              <w:rPr>
                <w:b/>
                <w:spacing w:val="-3"/>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3"/>
                <w:sz w:val="20"/>
              </w:rPr>
              <w:t> </w:t>
            </w:r>
            <w:r>
              <w:rPr>
                <w:sz w:val="20"/>
              </w:rPr>
              <w:t>pokud</w:t>
            </w:r>
            <w:r>
              <w:rPr>
                <w:spacing w:val="-4"/>
                <w:sz w:val="20"/>
              </w:rPr>
              <w:t> </w:t>
            </w:r>
            <w:r>
              <w:rPr>
                <w:sz w:val="20"/>
              </w:rPr>
              <w:t>se</w:t>
            </w:r>
            <w:r>
              <w:rPr>
                <w:spacing w:val="-5"/>
                <w:sz w:val="20"/>
              </w:rPr>
              <w:t> </w:t>
            </w:r>
            <w:r>
              <w:rPr>
                <w:sz w:val="20"/>
              </w:rPr>
              <w:t>na</w:t>
            </w:r>
            <w:r>
              <w:rPr>
                <w:spacing w:val="-4"/>
                <w:sz w:val="20"/>
              </w:rPr>
              <w:t> bid-</w:t>
            </w:r>
          </w:p>
          <w:p>
            <w:pPr>
              <w:pStyle w:val="TableParagraph"/>
              <w:spacing w:line="265" w:lineRule="exact" w:before="1"/>
              <w:ind w:left="103"/>
              <w:rPr>
                <w:sz w:val="20"/>
              </w:rPr>
            </w:pPr>
            <w:r>
              <w:rPr>
                <w:sz w:val="20"/>
              </w:rPr>
              <w:t>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388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208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2024-12-17T13:42:31Z</dcterms:created>
  <dcterms:modified xsi:type="dcterms:W3CDTF">2024-12-17T13:42:31Z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Microsoft® Word pro Microsoft 365</vt:lpwstr>
  </property>
  <property fmtid="{D5CDD505-2E9C-101B-9397-08002B2CF9AE}" pid="4" name="LastSaved">
    <vt:filetime>2024-12-17T00:00:00Z</vt:filetime>
  </property>
</Properties>
</file>