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7221300105</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spacing w:before="1"/>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spacing w:before="11"/>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Moravany</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6"/>
        </w:rPr>
        <w:t> </w:t>
      </w:r>
      <w:r>
        <w:rPr/>
        <w:t>Moravany,</w:t>
      </w:r>
      <w:r>
        <w:rPr>
          <w:spacing w:val="-4"/>
        </w:rPr>
        <w:t> </w:t>
      </w:r>
      <w:r>
        <w:rPr/>
        <w:t>nám.</w:t>
      </w:r>
      <w:r>
        <w:rPr>
          <w:spacing w:val="-6"/>
        </w:rPr>
        <w:t> </w:t>
      </w:r>
      <w:r>
        <w:rPr/>
        <w:t>Hrdinů</w:t>
      </w:r>
      <w:r>
        <w:rPr>
          <w:spacing w:val="-5"/>
        </w:rPr>
        <w:t> </w:t>
      </w:r>
      <w:r>
        <w:rPr/>
        <w:t>136,</w:t>
      </w:r>
      <w:r>
        <w:rPr>
          <w:spacing w:val="-5"/>
        </w:rPr>
        <w:t> </w:t>
      </w:r>
      <w:r>
        <w:rPr/>
        <w:t>533</w:t>
      </w:r>
      <w:r>
        <w:rPr>
          <w:spacing w:val="-3"/>
        </w:rPr>
        <w:t> </w:t>
      </w:r>
      <w:r>
        <w:rPr/>
        <w:t>72</w:t>
      </w:r>
      <w:r>
        <w:rPr>
          <w:spacing w:val="-5"/>
        </w:rPr>
        <w:t> </w:t>
      </w:r>
      <w:r>
        <w:rPr/>
        <w:t>Moravany</w:t>
      </w:r>
      <w:r>
        <w:rPr>
          <w:spacing w:val="-4"/>
        </w:rPr>
        <w:t> </w:t>
      </w:r>
      <w:r>
        <w:rPr/>
        <w:t>u</w:t>
      </w:r>
      <w:r>
        <w:rPr>
          <w:spacing w:val="-4"/>
        </w:rPr>
        <w:t> </w:t>
      </w:r>
      <w:r>
        <w:rPr>
          <w:spacing w:val="-2"/>
        </w:rPr>
        <w:t>Holic</w:t>
      </w:r>
    </w:p>
    <w:p>
      <w:pPr>
        <w:pStyle w:val="BodyText"/>
        <w:tabs>
          <w:tab w:pos="2982" w:val="left" w:leader="none"/>
        </w:tabs>
        <w:spacing w:before="1"/>
        <w:ind w:left="102"/>
      </w:pPr>
      <w:r>
        <w:rPr>
          <w:spacing w:val="-4"/>
        </w:rPr>
        <w:t>IČO:</w:t>
      </w:r>
      <w:r>
        <w:rPr/>
        <w:tab/>
      </w:r>
      <w:r>
        <w:rPr>
          <w:spacing w:val="-2"/>
        </w:rPr>
        <w:t>00273988</w:t>
      </w:r>
    </w:p>
    <w:p>
      <w:pPr>
        <w:pStyle w:val="BodyText"/>
        <w:tabs>
          <w:tab w:pos="2982" w:val="left" w:leader="none"/>
        </w:tabs>
        <w:spacing w:line="265" w:lineRule="exact"/>
        <w:ind w:left="102"/>
      </w:pPr>
      <w:r>
        <w:rPr>
          <w:spacing w:val="-2"/>
        </w:rPr>
        <w:t>zastoupená:</w:t>
      </w:r>
      <w:r>
        <w:rPr/>
        <w:tab/>
        <w:t>Ondřejem</w:t>
      </w:r>
      <w:r>
        <w:rPr>
          <w:spacing w:val="-2"/>
        </w:rPr>
        <w:t> </w:t>
      </w:r>
      <w:r>
        <w:rPr/>
        <w:t>M</w:t>
      </w:r>
      <w:r>
        <w:rPr>
          <w:spacing w:val="-1"/>
        </w:rPr>
        <w:t> </w:t>
      </w:r>
      <w:r>
        <w:rPr/>
        <w:t>i</w:t>
      </w:r>
      <w:r>
        <w:rPr>
          <w:spacing w:val="-1"/>
        </w:rPr>
        <w:t> </w:t>
      </w:r>
      <w:r>
        <w:rPr/>
        <w:t>k</w:t>
      </w:r>
      <w:r>
        <w:rPr>
          <w:spacing w:val="-3"/>
        </w:rPr>
        <w:t> </w:t>
      </w:r>
      <w:r>
        <w:rPr/>
        <w:t>u</w:t>
      </w:r>
      <w:r>
        <w:rPr>
          <w:spacing w:val="-2"/>
        </w:rPr>
        <w:t> </w:t>
      </w:r>
      <w:r>
        <w:rPr/>
        <w:t>l e</w:t>
      </w:r>
      <w:r>
        <w:rPr>
          <w:spacing w:val="-3"/>
        </w:rPr>
        <w:t> </w:t>
      </w:r>
      <w:r>
        <w:rPr/>
        <w:t>c</w:t>
      </w:r>
      <w:r>
        <w:rPr>
          <w:spacing w:val="-3"/>
        </w:rPr>
        <w:t> </w:t>
      </w:r>
      <w:r>
        <w:rPr/>
        <w:t>k</w:t>
      </w:r>
      <w:r>
        <w:rPr>
          <w:spacing w:val="-2"/>
        </w:rPr>
        <w:t> </w:t>
      </w:r>
      <w:r>
        <w:rPr/>
        <w:t>ý m,</w:t>
      </w:r>
      <w:r>
        <w:rPr>
          <w:spacing w:val="-3"/>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7616561/0710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line="265" w:lineRule="exact" w:before="1"/>
        <w:ind w:left="2296" w:right="2305"/>
      </w:pPr>
      <w:r>
        <w:rPr>
          <w:spacing w:val="-5"/>
        </w:rPr>
        <w:t>I.</w:t>
      </w:r>
    </w:p>
    <w:p>
      <w:pPr>
        <w:pStyle w:val="Heading2"/>
        <w:spacing w:line="265" w:lineRule="exact"/>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7221300105 o poskytnutí finančních prostředků ze Státního fondu životního prostředí ČR ze dne 21. 6. 2023, ve znění změny č. 1 ze dne 7. 6. 2024, změny č. 2 ze dne 23. 10. 2024 a změny č. 3 ze dne 19. 11. 2024, v 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2"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413"/>
        <w:jc w:val="both"/>
      </w:pPr>
      <w:r>
        <w:rPr/>
        <w:t>„Instalace</w:t>
      </w:r>
      <w:r>
        <w:rPr>
          <w:spacing w:val="-8"/>
        </w:rPr>
        <w:t> </w:t>
      </w:r>
      <w:r>
        <w:rPr/>
        <w:t>fotovoltaické</w:t>
      </w:r>
      <w:r>
        <w:rPr>
          <w:spacing w:val="-9"/>
        </w:rPr>
        <w:t> </w:t>
      </w:r>
      <w:r>
        <w:rPr/>
        <w:t>elektrárny</w:t>
      </w:r>
      <w:r>
        <w:rPr>
          <w:spacing w:val="-5"/>
        </w:rPr>
        <w:t> </w:t>
      </w:r>
      <w:r>
        <w:rPr/>
        <w:t>–</w:t>
      </w:r>
      <w:r>
        <w:rPr>
          <w:spacing w:val="-6"/>
        </w:rPr>
        <w:t> </w:t>
      </w:r>
      <w:r>
        <w:rPr/>
        <w:t>ZŠ</w:t>
      </w:r>
      <w:r>
        <w:rPr>
          <w:spacing w:val="-8"/>
        </w:rPr>
        <w:t> </w:t>
      </w:r>
      <w:r>
        <w:rPr>
          <w:spacing w:val="-2"/>
        </w:rPr>
        <w:t>Moravany“</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right="703"/>
      </w:pPr>
      <w:r>
        <w:rPr>
          <w:spacing w:val="-5"/>
        </w:rPr>
        <w:t>II.</w:t>
      </w:r>
    </w:p>
    <w:p>
      <w:pPr>
        <w:pStyle w:val="Heading2"/>
        <w:spacing w:line="265" w:lineRule="exact"/>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626</w:t>
      </w:r>
      <w:r>
        <w:rPr>
          <w:b/>
          <w:spacing w:val="-1"/>
          <w:sz w:val="20"/>
        </w:rPr>
        <w:t> </w:t>
      </w:r>
      <w:r>
        <w:rPr>
          <w:b/>
          <w:sz w:val="20"/>
        </w:rPr>
        <w:t>657,39 Kč </w:t>
      </w:r>
      <w:r>
        <w:rPr>
          <w:sz w:val="20"/>
        </w:rPr>
        <w:t>(slovy: šest set dvacet šest tisíc šest set padesát sedm korun českých, třicet devět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906 958,89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2"/>
        <w:rPr>
          <w:sz w:val="19"/>
        </w:rPr>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8" w:hanging="284"/>
        <w:jc w:val="both"/>
        <w:rPr>
          <w:sz w:val="20"/>
        </w:rPr>
      </w:pPr>
      <w:r>
        <w:rPr>
          <w:sz w:val="20"/>
        </w:rPr>
        <w:t>V případě, že došlo k zápočtu pohledávek/závazků mezi příjemcem podpory a zhotovitelem (úhrada faktury</w:t>
      </w:r>
      <w:r>
        <w:rPr>
          <w:spacing w:val="78"/>
          <w:w w:val="150"/>
          <w:sz w:val="20"/>
        </w:rPr>
        <w:t> </w:t>
      </w:r>
      <w:r>
        <w:rPr>
          <w:sz w:val="20"/>
        </w:rPr>
        <w:t>není</w:t>
      </w:r>
      <w:r>
        <w:rPr>
          <w:spacing w:val="79"/>
          <w:w w:val="150"/>
          <w:sz w:val="20"/>
        </w:rPr>
        <w:t> </w:t>
      </w:r>
      <w:r>
        <w:rPr>
          <w:sz w:val="20"/>
        </w:rPr>
        <w:t>v</w:t>
      </w:r>
      <w:r>
        <w:rPr>
          <w:spacing w:val="79"/>
          <w:w w:val="150"/>
          <w:sz w:val="20"/>
        </w:rPr>
        <w:t> </w:t>
      </w:r>
      <w:r>
        <w:rPr>
          <w:sz w:val="20"/>
        </w:rPr>
        <w:t>plné</w:t>
      </w:r>
      <w:r>
        <w:rPr>
          <w:spacing w:val="78"/>
          <w:w w:val="150"/>
          <w:sz w:val="20"/>
        </w:rPr>
        <w:t> </w:t>
      </w:r>
      <w:r>
        <w:rPr>
          <w:sz w:val="20"/>
        </w:rPr>
        <w:t>výši</w:t>
      </w:r>
      <w:r>
        <w:rPr>
          <w:spacing w:val="80"/>
          <w:w w:val="150"/>
          <w:sz w:val="20"/>
        </w:rPr>
        <w:t> </w:t>
      </w:r>
      <w:r>
        <w:rPr>
          <w:sz w:val="20"/>
        </w:rPr>
        <w:t>doložena</w:t>
      </w:r>
      <w:r>
        <w:rPr>
          <w:spacing w:val="78"/>
          <w:w w:val="150"/>
          <w:sz w:val="20"/>
        </w:rPr>
        <w:t> </w:t>
      </w:r>
      <w:r>
        <w:rPr>
          <w:sz w:val="20"/>
        </w:rPr>
        <w:t>bankovním</w:t>
      </w:r>
      <w:r>
        <w:rPr>
          <w:spacing w:val="79"/>
          <w:w w:val="150"/>
          <w:sz w:val="20"/>
        </w:rPr>
        <w:t> </w:t>
      </w:r>
      <w:r>
        <w:rPr>
          <w:sz w:val="20"/>
        </w:rPr>
        <w:t>výpisem),</w:t>
      </w:r>
      <w:r>
        <w:rPr>
          <w:spacing w:val="78"/>
          <w:w w:val="150"/>
          <w:sz w:val="20"/>
        </w:rPr>
        <w:t> </w:t>
      </w:r>
      <w:r>
        <w:rPr>
          <w:sz w:val="20"/>
        </w:rPr>
        <w:t>je</w:t>
      </w:r>
      <w:r>
        <w:rPr>
          <w:spacing w:val="78"/>
          <w:w w:val="150"/>
          <w:sz w:val="20"/>
        </w:rPr>
        <w:t> </w:t>
      </w:r>
      <w:r>
        <w:rPr>
          <w:sz w:val="20"/>
        </w:rPr>
        <w:t>vždy</w:t>
      </w:r>
      <w:r>
        <w:rPr>
          <w:spacing w:val="79"/>
          <w:w w:val="150"/>
          <w:sz w:val="20"/>
        </w:rPr>
        <w:t> </w:t>
      </w:r>
      <w:r>
        <w:rPr>
          <w:sz w:val="20"/>
        </w:rPr>
        <w:t>nutno</w:t>
      </w:r>
      <w:r>
        <w:rPr>
          <w:spacing w:val="80"/>
          <w:w w:val="150"/>
          <w:sz w:val="20"/>
        </w:rPr>
        <w:t> </w:t>
      </w:r>
      <w:r>
        <w:rPr>
          <w:sz w:val="20"/>
        </w:rPr>
        <w:t>předložit</w:t>
      </w:r>
      <w:r>
        <w:rPr>
          <w:spacing w:val="78"/>
          <w:w w:val="150"/>
          <w:sz w:val="20"/>
        </w:rPr>
        <w:t> </w:t>
      </w:r>
      <w:r>
        <w:rPr>
          <w:sz w:val="20"/>
        </w:rPr>
        <w:t>písemnou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 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2"/>
        <w:rPr>
          <w:sz w:val="19"/>
        </w:rPr>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65" w:lineRule="exact" w:before="120" w:after="0"/>
        <w:ind w:left="745" w:right="0" w:hanging="361"/>
        <w:jc w:val="left"/>
        <w:rPr>
          <w:sz w:val="20"/>
        </w:rPr>
      </w:pPr>
      <w:r>
        <w:rPr>
          <w:sz w:val="20"/>
        </w:rPr>
        <w:t>splní</w:t>
      </w:r>
      <w:r>
        <w:rPr>
          <w:spacing w:val="26"/>
          <w:sz w:val="20"/>
        </w:rPr>
        <w:t> </w:t>
      </w:r>
      <w:r>
        <w:rPr>
          <w:sz w:val="20"/>
        </w:rPr>
        <w:t>účel</w:t>
      </w:r>
      <w:r>
        <w:rPr>
          <w:spacing w:val="26"/>
          <w:sz w:val="20"/>
        </w:rPr>
        <w:t> </w:t>
      </w:r>
      <w:r>
        <w:rPr>
          <w:sz w:val="20"/>
        </w:rPr>
        <w:t>akce</w:t>
      </w:r>
      <w:r>
        <w:rPr>
          <w:spacing w:val="27"/>
          <w:sz w:val="20"/>
        </w:rPr>
        <w:t> </w:t>
      </w:r>
      <w:r>
        <w:rPr>
          <w:sz w:val="20"/>
        </w:rPr>
        <w:t>„Instalace</w:t>
      </w:r>
      <w:r>
        <w:rPr>
          <w:spacing w:val="26"/>
          <w:sz w:val="20"/>
        </w:rPr>
        <w:t> </w:t>
      </w:r>
      <w:r>
        <w:rPr>
          <w:sz w:val="20"/>
        </w:rPr>
        <w:t>fotovoltaické</w:t>
      </w:r>
      <w:r>
        <w:rPr>
          <w:spacing w:val="26"/>
          <w:sz w:val="20"/>
        </w:rPr>
        <w:t> </w:t>
      </w:r>
      <w:r>
        <w:rPr>
          <w:sz w:val="20"/>
        </w:rPr>
        <w:t>elektrárny</w:t>
      </w:r>
      <w:r>
        <w:rPr>
          <w:spacing w:val="30"/>
          <w:sz w:val="20"/>
        </w:rPr>
        <w:t> </w:t>
      </w:r>
      <w:r>
        <w:rPr>
          <w:sz w:val="20"/>
        </w:rPr>
        <w:t>–</w:t>
      </w:r>
      <w:r>
        <w:rPr>
          <w:spacing w:val="29"/>
          <w:sz w:val="20"/>
        </w:rPr>
        <w:t> </w:t>
      </w:r>
      <w:r>
        <w:rPr>
          <w:sz w:val="20"/>
        </w:rPr>
        <w:t>ZŠ</w:t>
      </w:r>
      <w:r>
        <w:rPr>
          <w:spacing w:val="26"/>
          <w:sz w:val="20"/>
        </w:rPr>
        <w:t> </w:t>
      </w:r>
      <w:r>
        <w:rPr>
          <w:sz w:val="20"/>
        </w:rPr>
        <w:t>Moravany“</w:t>
      </w:r>
      <w:r>
        <w:rPr>
          <w:spacing w:val="26"/>
          <w:sz w:val="20"/>
        </w:rPr>
        <w:t> </w:t>
      </w:r>
      <w:r>
        <w:rPr>
          <w:sz w:val="20"/>
        </w:rPr>
        <w:t>tím,</w:t>
      </w:r>
      <w:r>
        <w:rPr>
          <w:spacing w:val="28"/>
          <w:sz w:val="20"/>
        </w:rPr>
        <w:t> </w:t>
      </w:r>
      <w:r>
        <w:rPr>
          <w:sz w:val="20"/>
        </w:rPr>
        <w:t>že</w:t>
      </w:r>
      <w:r>
        <w:rPr>
          <w:spacing w:val="26"/>
          <w:sz w:val="20"/>
        </w:rPr>
        <w:t> </w:t>
      </w:r>
      <w:r>
        <w:rPr>
          <w:sz w:val="20"/>
        </w:rPr>
        <w:t>akce</w:t>
      </w:r>
      <w:r>
        <w:rPr>
          <w:spacing w:val="28"/>
          <w:sz w:val="20"/>
        </w:rPr>
        <w:t> </w:t>
      </w:r>
      <w:r>
        <w:rPr>
          <w:sz w:val="20"/>
        </w:rPr>
        <w:t>bude</w:t>
      </w:r>
      <w:r>
        <w:rPr>
          <w:spacing w:val="27"/>
          <w:sz w:val="20"/>
        </w:rPr>
        <w:t> </w:t>
      </w:r>
      <w:r>
        <w:rPr>
          <w:spacing w:val="-2"/>
          <w:sz w:val="20"/>
        </w:rPr>
        <w:t>provedena</w:t>
      </w:r>
    </w:p>
    <w:p>
      <w:pPr>
        <w:pStyle w:val="BodyText"/>
        <w:spacing w:line="265" w:lineRule="exact"/>
        <w:ind w:left="745"/>
      </w:pPr>
      <w:r>
        <w:rPr/>
        <w:t>v</w:t>
      </w:r>
      <w:r>
        <w:rPr>
          <w:spacing w:val="-4"/>
        </w:rPr>
        <w:t> </w:t>
      </w:r>
      <w:r>
        <w:rPr/>
        <w:t>souladu</w:t>
      </w:r>
      <w:r>
        <w:rPr>
          <w:spacing w:val="-5"/>
        </w:rPr>
        <w:t> </w:t>
      </w:r>
      <w:r>
        <w:rPr/>
        <w:t>s</w:t>
      </w:r>
      <w:r>
        <w:rPr>
          <w:spacing w:val="-4"/>
        </w:rPr>
        <w:t> </w:t>
      </w:r>
      <w:r>
        <w:rPr/>
        <w:t>Výzvou,</w:t>
      </w:r>
      <w:r>
        <w:rPr>
          <w:spacing w:val="-5"/>
        </w:rPr>
        <w:t> </w:t>
      </w:r>
      <w:r>
        <w:rPr/>
        <w:t>žádostí</w:t>
      </w:r>
      <w:r>
        <w:rPr>
          <w:spacing w:val="-3"/>
        </w:rPr>
        <w:t> </w:t>
      </w:r>
      <w:r>
        <w:rPr/>
        <w:t>o</w:t>
      </w:r>
      <w:r>
        <w:rPr>
          <w:spacing w:val="-5"/>
        </w:rPr>
        <w:t> </w:t>
      </w:r>
      <w:r>
        <w:rPr/>
        <w:t>podporu</w:t>
      </w:r>
      <w:r>
        <w:rPr>
          <w:spacing w:val="-5"/>
        </w:rPr>
        <w:t> </w:t>
      </w:r>
      <w:r>
        <w:rPr/>
        <w:t>a</w:t>
      </w:r>
      <w:r>
        <w:rPr>
          <w:spacing w:val="-6"/>
        </w:rPr>
        <w:t> </w:t>
      </w:r>
      <w:r>
        <w:rPr/>
        <w:t>jejími</w:t>
      </w:r>
      <w:r>
        <w:rPr>
          <w:spacing w:val="-6"/>
        </w:rPr>
        <w:t> </w:t>
      </w:r>
      <w:r>
        <w:rPr/>
        <w:t>přílohami</w:t>
      </w:r>
      <w:r>
        <w:rPr>
          <w:spacing w:val="-5"/>
        </w:rPr>
        <w:t> </w:t>
      </w:r>
      <w:r>
        <w:rPr/>
        <w:t>a</w:t>
      </w:r>
      <w:r>
        <w:rPr>
          <w:spacing w:val="-6"/>
        </w:rPr>
        <w:t> </w:t>
      </w:r>
      <w:r>
        <w:rPr/>
        <w:t>touto</w:t>
      </w:r>
      <w:r>
        <w:rPr>
          <w:spacing w:val="-5"/>
        </w:rPr>
        <w:t> </w:t>
      </w:r>
      <w:r>
        <w:rPr>
          <w:spacing w:val="-2"/>
        </w:rPr>
        <w:t>Smlouvou,</w:t>
      </w:r>
    </w:p>
    <w:p>
      <w:pPr>
        <w:pStyle w:val="ListParagraph"/>
        <w:numPr>
          <w:ilvl w:val="1"/>
          <w:numId w:val="4"/>
        </w:numPr>
        <w:tabs>
          <w:tab w:pos="746" w:val="left" w:leader="none"/>
          <w:tab w:pos="1651" w:val="left" w:leader="none"/>
          <w:tab w:pos="2591" w:val="left" w:leader="none"/>
          <w:tab w:pos="3304" w:val="left" w:leader="none"/>
          <w:tab w:pos="3606" w:val="left" w:leader="none"/>
          <w:tab w:pos="4571" w:val="left" w:leader="none"/>
          <w:tab w:pos="5206" w:val="left" w:leader="none"/>
          <w:tab w:pos="6547" w:val="left" w:leader="none"/>
          <w:tab w:pos="7626" w:val="left" w:leader="none"/>
          <w:tab w:pos="8019" w:val="left" w:leader="none"/>
          <w:tab w:pos="8796" w:val="left" w:leader="none"/>
        </w:tabs>
        <w:spacing w:line="265" w:lineRule="exact" w:before="108"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spacing w:line="265" w:lineRule="exact"/>
        <w:ind w:left="745"/>
      </w:pPr>
      <w:r>
        <w:rPr/>
        <w:t>s</w:t>
      </w:r>
      <w:r>
        <w:rPr>
          <w:spacing w:val="-7"/>
        </w:rPr>
        <w:t> </w:t>
      </w:r>
      <w:r>
        <w:rPr/>
        <w:t>předpokládaným</w:t>
      </w:r>
      <w:r>
        <w:rPr>
          <w:spacing w:val="-6"/>
        </w:rPr>
        <w:t> </w:t>
      </w:r>
      <w:r>
        <w:rPr/>
        <w:t>výkonem</w:t>
      </w:r>
      <w:r>
        <w:rPr>
          <w:spacing w:val="-5"/>
        </w:rPr>
        <w:t> </w:t>
      </w:r>
      <w:r>
        <w:rPr/>
        <w:t>19,8</w:t>
      </w:r>
      <w:r>
        <w:rPr>
          <w:spacing w:val="-6"/>
        </w:rPr>
        <w:t> </w:t>
      </w:r>
      <w:r>
        <w:rPr/>
        <w:t>kWp</w:t>
      </w:r>
      <w:r>
        <w:rPr>
          <w:spacing w:val="-6"/>
        </w:rPr>
        <w:t> </w:t>
      </w:r>
      <w:r>
        <w:rPr/>
        <w:t>a</w:t>
      </w:r>
      <w:r>
        <w:rPr>
          <w:spacing w:val="-7"/>
        </w:rPr>
        <w:t> </w:t>
      </w:r>
      <w:r>
        <w:rPr/>
        <w:t>instalací</w:t>
      </w:r>
      <w:r>
        <w:rPr>
          <w:spacing w:val="-7"/>
        </w:rPr>
        <w:t> </w:t>
      </w:r>
      <w:r>
        <w:rPr/>
        <w:t>akumulace</w:t>
      </w:r>
      <w:r>
        <w:rPr>
          <w:spacing w:val="-6"/>
        </w:rPr>
        <w:t> </w:t>
      </w:r>
      <w:r>
        <w:rPr/>
        <w:t>o kapacitě</w:t>
      </w:r>
      <w:r>
        <w:rPr>
          <w:spacing w:val="-7"/>
        </w:rPr>
        <w:t> </w:t>
      </w:r>
      <w:r>
        <w:rPr/>
        <w:t>20,4</w:t>
      </w:r>
      <w:r>
        <w:rPr>
          <w:spacing w:val="-6"/>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20.40</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19.80</w:t>
            </w:r>
          </w:p>
        </w:tc>
      </w:tr>
      <w:tr>
        <w:trPr>
          <w:trHeight w:val="505"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17.24</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52.12</w:t>
            </w:r>
          </w:p>
        </w:tc>
      </w:tr>
      <w:tr>
        <w:trPr>
          <w:trHeight w:val="505"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20.04</w:t>
            </w:r>
          </w:p>
        </w:tc>
      </w:tr>
    </w:tbl>
    <w:p>
      <w:pPr>
        <w:pStyle w:val="BodyText"/>
        <w:spacing w:before="4"/>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5"/>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17" w:hanging="360"/>
        <w:jc w:val="both"/>
        <w:rPr>
          <w:sz w:val="20"/>
        </w:rPr>
      </w:pPr>
      <w:r>
        <w:rPr>
          <w:sz w:val="20"/>
        </w:rPr>
        <w:t>předloží</w:t>
      </w:r>
      <w:r>
        <w:rPr>
          <w:spacing w:val="-4"/>
          <w:sz w:val="20"/>
        </w:rPr>
        <w:t> </w:t>
      </w:r>
      <w:r>
        <w:rPr>
          <w:sz w:val="20"/>
        </w:rPr>
        <w:t>Fondu</w:t>
      </w:r>
      <w:r>
        <w:rPr>
          <w:spacing w:val="-4"/>
          <w:sz w:val="20"/>
        </w:rPr>
        <w:t> </w:t>
      </w:r>
      <w:r>
        <w:rPr>
          <w:sz w:val="20"/>
        </w:rPr>
        <w:t>současně</w:t>
      </w:r>
      <w:r>
        <w:rPr>
          <w:spacing w:val="-4"/>
          <w:sz w:val="20"/>
        </w:rPr>
        <w:t> </w:t>
      </w:r>
      <w:r>
        <w:rPr>
          <w:sz w:val="20"/>
        </w:rPr>
        <w:t>s</w:t>
      </w:r>
      <w:r>
        <w:rPr>
          <w:spacing w:val="-4"/>
          <w:sz w:val="20"/>
        </w:rPr>
        <w:t> </w:t>
      </w:r>
      <w:r>
        <w:rPr>
          <w:sz w:val="20"/>
        </w:rPr>
        <w:t>žádostí</w:t>
      </w:r>
      <w:r>
        <w:rPr>
          <w:spacing w:val="-4"/>
          <w:sz w:val="20"/>
        </w:rPr>
        <w:t> </w:t>
      </w:r>
      <w:r>
        <w:rPr>
          <w:sz w:val="20"/>
        </w:rPr>
        <w:t>o</w:t>
      </w:r>
      <w:r>
        <w:rPr>
          <w:spacing w:val="-3"/>
          <w:sz w:val="20"/>
        </w:rPr>
        <w:t> </w:t>
      </w:r>
      <w:r>
        <w:rPr>
          <w:sz w:val="20"/>
        </w:rPr>
        <w:t>platbu</w:t>
      </w:r>
      <w:r>
        <w:rPr>
          <w:spacing w:val="-4"/>
          <w:sz w:val="20"/>
        </w:rPr>
        <w:t> </w:t>
      </w:r>
      <w:r>
        <w:rPr>
          <w:sz w:val="20"/>
        </w:rPr>
        <w:t>podklady</w:t>
      </w:r>
      <w:r>
        <w:rPr>
          <w:spacing w:val="-4"/>
          <w:sz w:val="20"/>
        </w:rPr>
        <w:t> </w:t>
      </w:r>
      <w:r>
        <w:rPr>
          <w:sz w:val="20"/>
        </w:rPr>
        <w:t>k</w:t>
      </w:r>
      <w:r>
        <w:rPr>
          <w:spacing w:val="-2"/>
          <w:sz w:val="20"/>
        </w:rPr>
        <w:t> </w:t>
      </w:r>
      <w:r>
        <w:rPr>
          <w:sz w:val="20"/>
        </w:rPr>
        <w:t>ZVA</w:t>
      </w:r>
      <w:r>
        <w:rPr>
          <w:spacing w:val="-3"/>
          <w:sz w:val="20"/>
        </w:rPr>
        <w:t> </w:t>
      </w:r>
      <w:r>
        <w:rPr>
          <w:sz w:val="20"/>
        </w:rPr>
        <w:t>podle</w:t>
      </w:r>
      <w:r>
        <w:rPr>
          <w:spacing w:val="-4"/>
          <w:sz w:val="20"/>
        </w:rPr>
        <w:t> </w:t>
      </w:r>
      <w:r>
        <w:rPr>
          <w:sz w:val="20"/>
        </w:rPr>
        <w:t>čl.</w:t>
      </w:r>
      <w:r>
        <w:rPr>
          <w:spacing w:val="-4"/>
          <w:sz w:val="20"/>
        </w:rPr>
        <w:t> </w:t>
      </w:r>
      <w:r>
        <w:rPr>
          <w:sz w:val="20"/>
        </w:rPr>
        <w:t>14.4.</w:t>
      </w:r>
      <w:r>
        <w:rPr>
          <w:spacing w:val="-5"/>
          <w:sz w:val="20"/>
        </w:rPr>
        <w:t> </w:t>
      </w:r>
      <w:r>
        <w:rPr>
          <w:sz w:val="20"/>
        </w:rPr>
        <w:t>Výzvy,</w:t>
      </w:r>
      <w:r>
        <w:rPr>
          <w:spacing w:val="-4"/>
          <w:sz w:val="20"/>
        </w:rPr>
        <w:t> </w:t>
      </w:r>
      <w:r>
        <w:rPr>
          <w:sz w:val="20"/>
        </w:rPr>
        <w:t>a</w:t>
      </w:r>
      <w:r>
        <w:rPr>
          <w:spacing w:val="-4"/>
          <w:sz w:val="20"/>
        </w:rPr>
        <w:t> </w:t>
      </w:r>
      <w:r>
        <w:rPr>
          <w:sz w:val="20"/>
        </w:rPr>
        <w:t>to</w:t>
      </w:r>
      <w:r>
        <w:rPr>
          <w:spacing w:val="-4"/>
          <w:sz w:val="20"/>
        </w:rPr>
        <w:t> </w:t>
      </w:r>
      <w:r>
        <w:rPr>
          <w:sz w:val="20"/>
        </w:rPr>
        <w:t>nejpozději</w:t>
      </w:r>
      <w:r>
        <w:rPr>
          <w:spacing w:val="-4"/>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before="1"/>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6"/>
        </w:rPr>
      </w:pPr>
    </w:p>
    <w:p>
      <w:pPr>
        <w:pStyle w:val="BodyText"/>
        <w:spacing w:before="13"/>
        <w:rPr>
          <w:sz w:val="21"/>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rPr>
          <w:sz w:val="26"/>
        </w:rPr>
      </w:pPr>
    </w:p>
    <w:p>
      <w:pPr>
        <w:pStyle w:val="BodyText"/>
        <w:rPr>
          <w:sz w:val="35"/>
        </w:rPr>
      </w:pPr>
    </w:p>
    <w:p>
      <w:pPr>
        <w:pStyle w:val="BodyText"/>
        <w:spacing w:before="1"/>
        <w:ind w:left="102"/>
      </w:pPr>
      <w:r>
        <w:rPr/>
        <w:t>Příloha</w:t>
      </w:r>
      <w:r>
        <w:rPr>
          <w:spacing w:val="65"/>
        </w:rPr>
        <w:t> </w:t>
      </w:r>
      <w:r>
        <w:rPr/>
        <w:t>č.</w:t>
      </w:r>
      <w:r>
        <w:rPr>
          <w:spacing w:val="66"/>
        </w:rPr>
        <w:t> </w:t>
      </w:r>
      <w:r>
        <w:rPr/>
        <w:t>1</w:t>
      </w:r>
      <w:r>
        <w:rPr>
          <w:spacing w:val="67"/>
        </w:rPr>
        <w:t> </w:t>
      </w:r>
      <w:r>
        <w:rPr/>
        <w:t>–</w:t>
      </w:r>
      <w:r>
        <w:rPr>
          <w:spacing w:val="67"/>
        </w:rPr>
        <w:t> </w:t>
      </w:r>
      <w:r>
        <w:rPr/>
        <w:t>Stanovení</w:t>
      </w:r>
      <w:r>
        <w:rPr>
          <w:spacing w:val="66"/>
        </w:rPr>
        <w:t> </w:t>
      </w:r>
      <w:r>
        <w:rPr/>
        <w:t>výše</w:t>
      </w:r>
      <w:r>
        <w:rPr>
          <w:spacing w:val="64"/>
        </w:rPr>
        <w:t> </w:t>
      </w:r>
      <w:r>
        <w:rPr/>
        <w:t>odvodů,</w:t>
      </w:r>
      <w:r>
        <w:rPr>
          <w:spacing w:val="66"/>
        </w:rPr>
        <w:t> </w:t>
      </w:r>
      <w:r>
        <w:rPr/>
        <w:t>které</w:t>
      </w:r>
      <w:r>
        <w:rPr>
          <w:spacing w:val="65"/>
        </w:rPr>
        <w:t> </w:t>
      </w:r>
      <w:r>
        <w:rPr/>
        <w:t>se</w:t>
      </w:r>
      <w:r>
        <w:rPr>
          <w:spacing w:val="65"/>
        </w:rPr>
        <w:t> </w:t>
      </w:r>
      <w:r>
        <w:rPr/>
        <w:t>použijí</w:t>
      </w:r>
      <w:r>
        <w:rPr>
          <w:spacing w:val="65"/>
        </w:rPr>
        <w:t> </w:t>
      </w:r>
      <w:r>
        <w:rPr/>
        <w:t>v případě</w:t>
      </w:r>
      <w:r>
        <w:rPr>
          <w:spacing w:val="65"/>
        </w:rPr>
        <w:t> </w:t>
      </w:r>
      <w:r>
        <w:rPr/>
        <w:t>porušení</w:t>
      </w:r>
      <w:r>
        <w:rPr>
          <w:spacing w:val="65"/>
        </w:rPr>
        <w:t> </w:t>
      </w:r>
      <w:r>
        <w:rPr/>
        <w:t>povinností</w:t>
      </w:r>
      <w:r>
        <w:rPr>
          <w:spacing w:val="65"/>
        </w:rPr>
        <w:t> </w:t>
      </w:r>
      <w:r>
        <w:rPr/>
        <w:t>při</w:t>
      </w:r>
      <w:r>
        <w:rPr>
          <w:spacing w:val="65"/>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388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208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2024-12-10T06:31:20Z</dcterms:created>
  <dcterms:modified xsi:type="dcterms:W3CDTF">2024-12-10T06:31:20Z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pro Microsoft 365</vt:lpwstr>
  </property>
  <property fmtid="{D5CDD505-2E9C-101B-9397-08002B2CF9AE}" pid="4" name="LastSaved">
    <vt:filetime>2024-12-10T00:00:00Z</vt:filetime>
  </property>
</Properties>
</file>