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402590</wp:posOffset>
            </wp:positionH>
            <wp:positionV relativeFrom="margin">
              <wp:posOffset>7745095</wp:posOffset>
            </wp:positionV>
            <wp:extent cx="167640" cy="1644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4935220</wp:posOffset>
            </wp:positionV>
            <wp:extent cx="4090670" cy="3384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09067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2776855</wp:posOffset>
            </wp:positionV>
            <wp:extent cx="64135" cy="368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135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1432/2024</w:t>
      </w:r>
    </w:p>
    <w:p>
      <w:pPr>
        <w:framePr w:w="9821" w:h="1502" w:wrap="notBeside" w:vAnchor="text" w:hAnchor="text" w:x="70" w:y="1"/>
        <w:widowControl w:val="0"/>
        <w:rPr>
          <w:sz w:val="2"/>
          <w:szCs w:val="2"/>
        </w:rPr>
      </w:pPr>
      <w:r>
        <w:drawing>
          <wp:inline>
            <wp:extent cx="6236335" cy="953770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236335" cy="953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43815" distR="264160" simplePos="0" relativeHeight="12582937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128270</wp:posOffset>
                </wp:positionV>
                <wp:extent cx="6016625" cy="8108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006" w:val="left"/>
                              </w:tabs>
                              <w:bidi w:val="0"/>
                              <w:spacing w:before="0" w:after="160" w:line="240" w:lineRule="auto"/>
                              <w:ind w:left="2020" w:right="0" w:hanging="20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Fw: Výzva potáp práce VD Újezd - č. akce 202 747 </w:t>
                            </w: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11.12.2024 13:24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5.450000000000001pt;margin-top:10.1pt;width:473.75pt;height:63.850000000000001pt;z-index:-125829375;mso-wrap-distance-left:3.4500000000000002pt;mso-wrap-distance-right:20.80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006" w:val="left"/>
                        </w:tabs>
                        <w:bidi w:val="0"/>
                        <w:spacing w:before="0" w:after="160" w:line="240" w:lineRule="auto"/>
                        <w:ind w:left="2020" w:right="0" w:hanging="20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Fw: Výzva potáp práce VD Újezd - č. akce 202 747 </w:t>
                      </w: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komu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11.12.2024 13:24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66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 na základě uzavřené "Rámcové dohody" č. objednatele 755/2023, vás vyzýváme k výkonu potápěčských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Místo plnění: VD Újezd - potápěčské práce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 202 747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naměřených hodnot z potápěčských prací provedených v předchozím období, při kterých byly proměřovány světlé vzdálenosti funkčních ploch vodících tyčí česlí a vodících tyčí revizní tabule na obou spodních výpustech umístěných na věžovém objektu, požadujeme doplnit měření o údaje vzdáleností mezi funkční plochou vodítek a železobetonovou konstrukcí (viz příloha č. 2 Měření vodících tyčí a příloha č. 3 Detail vodících tyčí). Měření požadujeme provádět po 25 cm od spodního prahu nahoru po obou stranách jednotlivých vodících tyčí (4 vodící tyče na každé spodní výpusti - celkem 8 vodících tyčí).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záznamu, Nálezová zpráva bude vypracována a předána do 10 dnů od ukončení prací.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8" w:val="left"/>
        </w:tabs>
        <w:bidi w:val="0"/>
        <w:spacing w:before="0" w:after="280" w:line="240" w:lineRule="auto"/>
        <w:ind w:left="380" w:right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nejpozději do 31.12.2024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8" w:val="left"/>
        </w:tabs>
        <w:bidi w:val="0"/>
        <w:spacing w:before="0" w:after="480" w:line="240" w:lineRule="auto"/>
        <w:ind w:left="0" w:right="0" w:firstLine="38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ceník VD Újezd 202 747.xlsxPříloha návr SOD VD Újezd 202 747.docx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5890" w:val="left"/>
        </w:tabs>
        <w:bidi w:val="0"/>
        <w:spacing w:before="0" w:after="0" w:line="240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odbor inženýringu, TDS specialista </w:t>
        <w:tab/>
        <w:t xml:space="preserve"> 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5890" w:val="left"/>
        </w:tabs>
        <w:bidi w:val="0"/>
        <w:spacing w:before="0" w:after="0" w:line="240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Bezručova 4219, 430 03 Chomutov tel. : mob. : fax : e-mail : </w:t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http: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/>
        <w:ind w:right="0" w:firstLine="2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 Před odesláním kontrolováno antivirovým systémem ESET.</w:t>
      </w:r>
    </w:p>
    <w:sectPr>
      <w:footnotePr>
        <w:pos w:val="pageBottom"/>
        <w:numFmt w:val="decimal"/>
        <w:numRestart w:val="continuous"/>
      </w:footnotePr>
      <w:pgSz w:w="11909" w:h="16834"/>
      <w:pgMar w:top="7" w:left="1043" w:right="904" w:bottom="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40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20"/>
      <w:ind w:left="1010" w:hanging="101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80" w:line="276" w:lineRule="auto"/>
      <w:ind w:left="660" w:firstLine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