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7D52" w14:textId="77777777" w:rsidR="00D31C8F" w:rsidRPr="0084229F" w:rsidRDefault="00D31C8F" w:rsidP="00D31C8F">
      <w:pPr>
        <w:jc w:val="center"/>
        <w:rPr>
          <w:b/>
          <w:sz w:val="32"/>
          <w:szCs w:val="32"/>
        </w:rPr>
      </w:pPr>
      <w:r w:rsidRPr="0084229F">
        <w:rPr>
          <w:b/>
          <w:sz w:val="32"/>
          <w:szCs w:val="32"/>
        </w:rPr>
        <w:t xml:space="preserve">KUPNÍ  SMLOUVA </w:t>
      </w:r>
    </w:p>
    <w:p w14:paraId="1FAA7D53" w14:textId="77777777" w:rsidR="00833A88" w:rsidRPr="00833A88" w:rsidRDefault="00833A88" w:rsidP="00833A88">
      <w:pPr>
        <w:jc w:val="center"/>
      </w:pPr>
      <w:r w:rsidRPr="00833A88">
        <w:t>uzavřená podle ust. § 2079 a násl. zákona č. 89/2012 Sb., občanský zákoník</w:t>
      </w:r>
      <w:r w:rsidR="00BE7471">
        <w:t>, ve znění pozdějších předpisů</w:t>
      </w:r>
      <w:r w:rsidRPr="00833A88">
        <w:t xml:space="preserve"> </w:t>
      </w:r>
    </w:p>
    <w:p w14:paraId="1FAA7D54" w14:textId="77777777" w:rsidR="00ED288D" w:rsidRPr="00833A88" w:rsidRDefault="00ED288D" w:rsidP="00D31C8F"/>
    <w:p w14:paraId="1FAA7D55" w14:textId="77777777" w:rsidR="00D31C8F" w:rsidRDefault="00D31C8F" w:rsidP="00D31C8F">
      <w:r>
        <w:rPr>
          <w:b/>
        </w:rPr>
        <w:t>Statutární měst</w:t>
      </w:r>
      <w:r w:rsidR="0084229F">
        <w:rPr>
          <w:b/>
        </w:rPr>
        <w:t>o</w:t>
      </w:r>
      <w:r>
        <w:rPr>
          <w:b/>
        </w:rPr>
        <w:t xml:space="preserve"> Přerov</w:t>
      </w:r>
      <w:r>
        <w:t xml:space="preserve"> </w:t>
      </w:r>
    </w:p>
    <w:p w14:paraId="1FAA7D56" w14:textId="77777777" w:rsidR="00D31C8F" w:rsidRDefault="00D31C8F" w:rsidP="00D31C8F">
      <w:r>
        <w:t>IČ 00301825</w:t>
      </w:r>
    </w:p>
    <w:p w14:paraId="1FAA7D57" w14:textId="77777777" w:rsidR="00C038F7" w:rsidRDefault="00C038F7" w:rsidP="00D31C8F">
      <w:r>
        <w:t>DIČ CZ00301825</w:t>
      </w:r>
    </w:p>
    <w:p w14:paraId="1FAA7D58" w14:textId="77777777" w:rsidR="00D31C8F" w:rsidRDefault="00D31C8F" w:rsidP="00D31C8F">
      <w:r>
        <w:t xml:space="preserve">se sídlem Bratrská 709/34, Přerov I-Město, 750 02 Přerov </w:t>
      </w:r>
    </w:p>
    <w:p w14:paraId="1FAA7D59" w14:textId="54811FD4" w:rsidR="00BE7471" w:rsidRDefault="00BE7471" w:rsidP="00BE7471">
      <w:pPr>
        <w:jc w:val="both"/>
      </w:pPr>
      <w:bookmarkStart w:id="0" w:name="_Hlk70515363"/>
      <w:r w:rsidRPr="00BE7471">
        <w:rPr>
          <w:color w:val="000000"/>
        </w:rPr>
        <w:t xml:space="preserve">zastoupené </w:t>
      </w:r>
      <w:r w:rsidR="00240B7D">
        <w:rPr>
          <w:color w:val="000000"/>
        </w:rPr>
        <w:t>Ing. Miloslavem Dohnalem, náměstkem primátora</w:t>
      </w:r>
    </w:p>
    <w:p w14:paraId="3CACCA90" w14:textId="4CC4124C" w:rsidR="00686762" w:rsidRPr="00BE7471" w:rsidRDefault="00686762" w:rsidP="00BE7471">
      <w:pPr>
        <w:jc w:val="both"/>
        <w:rPr>
          <w:color w:val="000000"/>
        </w:rPr>
      </w:pPr>
      <w:r>
        <w:t xml:space="preserve">(dále </w:t>
      </w:r>
      <w:r w:rsidR="00613315">
        <w:t xml:space="preserve">jako </w:t>
      </w:r>
      <w:r w:rsidR="00613315" w:rsidRPr="007B6209">
        <w:t>„</w:t>
      </w:r>
      <w:r w:rsidR="00613315" w:rsidRPr="007B6209">
        <w:rPr>
          <w:i/>
          <w:iCs/>
        </w:rPr>
        <w:t>prodávající</w:t>
      </w:r>
      <w:r w:rsidR="007B6209" w:rsidRPr="007B6209">
        <w:t>“</w:t>
      </w:r>
      <w:r w:rsidR="00613315">
        <w:t>)</w:t>
      </w:r>
    </w:p>
    <w:bookmarkEnd w:id="0"/>
    <w:p w14:paraId="1FAA7D5A" w14:textId="77777777" w:rsidR="00D31C8F" w:rsidRDefault="00D31C8F" w:rsidP="00D31C8F"/>
    <w:p w14:paraId="1FAA7D5B" w14:textId="77777777" w:rsidR="00D31C8F" w:rsidRDefault="00D31C8F" w:rsidP="00D31C8F">
      <w:r>
        <w:t>a</w:t>
      </w:r>
    </w:p>
    <w:p w14:paraId="383D3892" w14:textId="77777777" w:rsidR="003A463F" w:rsidRDefault="003A463F" w:rsidP="00BE7471"/>
    <w:p w14:paraId="1FAA7D5E" w14:textId="6FFC50D9" w:rsidR="00BE7471" w:rsidRDefault="00A15046" w:rsidP="00BE7471">
      <w:r>
        <w:rPr>
          <w:b/>
        </w:rPr>
        <w:t>Štěpán Vilímek</w:t>
      </w:r>
      <w:r w:rsidR="00BE7471">
        <w:rPr>
          <w:b/>
        </w:rPr>
        <w:t>,</w:t>
      </w:r>
      <w:r w:rsidR="00BE7471">
        <w:t xml:space="preserve"> nar. </w:t>
      </w:r>
      <w:r w:rsidR="00840457">
        <w:t xml:space="preserve">xxxxx </w:t>
      </w:r>
      <w:r w:rsidR="00C94F8E">
        <w:t>2001</w:t>
      </w:r>
    </w:p>
    <w:p w14:paraId="1FAA7D61" w14:textId="2DB0F0D2" w:rsidR="00BE7471" w:rsidRDefault="00BE7471" w:rsidP="00BE7471">
      <w:r>
        <w:t xml:space="preserve">bytem </w:t>
      </w:r>
      <w:r w:rsidR="00840457">
        <w:t>xxxxx</w:t>
      </w:r>
      <w:r w:rsidR="00F05A9D">
        <w:t xml:space="preserve"> Horní Moštěnice</w:t>
      </w:r>
    </w:p>
    <w:p w14:paraId="1FAA7D62" w14:textId="77777777" w:rsidR="000B3799" w:rsidRPr="000B3799" w:rsidRDefault="000B3799" w:rsidP="009C237A">
      <w:r>
        <w:t>(dále j</w:t>
      </w:r>
      <w:r w:rsidR="00663964">
        <w:t>ako</w:t>
      </w:r>
      <w:r>
        <w:t xml:space="preserve"> „</w:t>
      </w:r>
      <w:r w:rsidRPr="007406EB">
        <w:rPr>
          <w:i/>
        </w:rPr>
        <w:t>kupující</w:t>
      </w:r>
      <w:r>
        <w:t>“)</w:t>
      </w:r>
    </w:p>
    <w:p w14:paraId="4C991F44" w14:textId="77777777" w:rsidR="00641984" w:rsidRDefault="00641984" w:rsidP="00D31C8F"/>
    <w:p w14:paraId="2EAB6415" w14:textId="69D24B3B" w:rsidR="00641984" w:rsidRDefault="00D31C8F" w:rsidP="00641984">
      <w:r>
        <w:t xml:space="preserve">uzavírají dnešního dne následující </w:t>
      </w:r>
    </w:p>
    <w:p w14:paraId="439D161D" w14:textId="77777777" w:rsidR="00641984" w:rsidRPr="00641984" w:rsidRDefault="00641984" w:rsidP="00641984"/>
    <w:p w14:paraId="1FAA7D66" w14:textId="29514AB2" w:rsidR="00412FB1" w:rsidRDefault="00D31C8F" w:rsidP="00D31C8F">
      <w:pPr>
        <w:jc w:val="center"/>
        <w:rPr>
          <w:b/>
        </w:rPr>
      </w:pPr>
      <w:r w:rsidRPr="0084229F">
        <w:rPr>
          <w:b/>
          <w:sz w:val="28"/>
          <w:szCs w:val="28"/>
        </w:rPr>
        <w:t>k</w:t>
      </w:r>
      <w:r w:rsidR="00C038F7">
        <w:rPr>
          <w:b/>
          <w:sz w:val="28"/>
          <w:szCs w:val="28"/>
        </w:rPr>
        <w:t> </w:t>
      </w:r>
      <w:r w:rsidRPr="0084229F">
        <w:rPr>
          <w:b/>
          <w:sz w:val="28"/>
          <w:szCs w:val="28"/>
        </w:rPr>
        <w:t>u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>p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>n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 xml:space="preserve">í </w:t>
      </w:r>
      <w:r w:rsidR="00C038F7">
        <w:rPr>
          <w:b/>
          <w:sz w:val="28"/>
          <w:szCs w:val="28"/>
        </w:rPr>
        <w:t xml:space="preserve">   </w:t>
      </w:r>
      <w:r w:rsidRPr="0084229F">
        <w:rPr>
          <w:b/>
          <w:sz w:val="28"/>
          <w:szCs w:val="28"/>
        </w:rPr>
        <w:t>s</w:t>
      </w:r>
      <w:r w:rsidR="00C038F7">
        <w:rPr>
          <w:b/>
          <w:sz w:val="28"/>
          <w:szCs w:val="28"/>
        </w:rPr>
        <w:t> </w:t>
      </w:r>
      <w:r w:rsidRPr="0084229F">
        <w:rPr>
          <w:b/>
          <w:sz w:val="28"/>
          <w:szCs w:val="28"/>
        </w:rPr>
        <w:t>m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>l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>o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>u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>v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>u</w:t>
      </w:r>
      <w:r>
        <w:rPr>
          <w:b/>
        </w:rPr>
        <w:t>:</w:t>
      </w:r>
    </w:p>
    <w:p w14:paraId="1FAA7D67" w14:textId="77777777" w:rsidR="00780803" w:rsidRDefault="00780803" w:rsidP="00D31C8F">
      <w:pPr>
        <w:jc w:val="center"/>
        <w:rPr>
          <w:b/>
        </w:rPr>
      </w:pPr>
    </w:p>
    <w:p w14:paraId="1FAA7D68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I.</w:t>
      </w:r>
    </w:p>
    <w:p w14:paraId="1FAA7D69" w14:textId="77777777" w:rsidR="00C038F7" w:rsidRDefault="00C038F7" w:rsidP="00212395">
      <w:pPr>
        <w:spacing w:after="240"/>
        <w:jc w:val="center"/>
        <w:rPr>
          <w:b/>
        </w:rPr>
      </w:pPr>
      <w:r>
        <w:rPr>
          <w:b/>
        </w:rPr>
        <w:t>Úvodní ustanovení</w:t>
      </w:r>
    </w:p>
    <w:p w14:paraId="1FAA7D6A" w14:textId="1729EA7F" w:rsidR="00A03FE5" w:rsidRDefault="00D34C36" w:rsidP="00A03FE5">
      <w:pPr>
        <w:jc w:val="both"/>
      </w:pPr>
      <w:r>
        <w:t xml:space="preserve">Prodávající prohlašuje, že je zapsán v katastru nemovitostí vedeném Katastrálním úřadem pro Olomoucký kraj, </w:t>
      </w:r>
      <w:r w:rsidR="00036CB0">
        <w:t>K</w:t>
      </w:r>
      <w:r>
        <w:t xml:space="preserve">atastrální pracoviště Přerov, na </w:t>
      </w:r>
      <w:r w:rsidR="00B5129C">
        <w:t xml:space="preserve">LV č. </w:t>
      </w:r>
      <w:r w:rsidR="00364BEF" w:rsidRPr="00E54331">
        <w:t>17</w:t>
      </w:r>
      <w:r w:rsidR="00E31648" w:rsidRPr="00E54331">
        <w:t xml:space="preserve">252 a </w:t>
      </w:r>
      <w:r w:rsidR="00B5129C">
        <w:t>1</w:t>
      </w:r>
      <w:r w:rsidR="00A63DAE">
        <w:t>725</w:t>
      </w:r>
      <w:r w:rsidR="0021135A">
        <w:t>1</w:t>
      </w:r>
      <w:r w:rsidR="00D8184B">
        <w:t xml:space="preserve"> </w:t>
      </w:r>
      <w:r>
        <w:t>pro obec Přerov, k.ú. Přerov</w:t>
      </w:r>
      <w:r w:rsidR="007406EB">
        <w:t>,</w:t>
      </w:r>
      <w:r w:rsidR="00A03FE5">
        <w:t xml:space="preserve"> jako vlastník </w:t>
      </w:r>
      <w:r w:rsidR="00833A88">
        <w:t>jednotky vymezené podle zákona č. 72/1994 Sb., kterým se upravují některé spoluvlastnické vztahy k budovám a některé vlastnické vztahy k bytům a nebytovým prostorům a doplňují některé zákony (zákon o vlastnictví bytů), ve</w:t>
      </w:r>
      <w:r w:rsidR="00781A6E">
        <w:t> </w:t>
      </w:r>
      <w:r w:rsidR="00833A88">
        <w:t xml:space="preserve">znění pozdějších předpisů – </w:t>
      </w:r>
      <w:r w:rsidR="006F0C3B" w:rsidRPr="00297357">
        <w:rPr>
          <w:b/>
        </w:rPr>
        <w:t>byt</w:t>
      </w:r>
      <w:r w:rsidR="0085183C" w:rsidRPr="00297357">
        <w:rPr>
          <w:b/>
        </w:rPr>
        <w:t>ové jednotky</w:t>
      </w:r>
      <w:r w:rsidR="00297357" w:rsidRPr="00297357">
        <w:rPr>
          <w:b/>
        </w:rPr>
        <w:t xml:space="preserve"> č. </w:t>
      </w:r>
      <w:r w:rsidR="00C82E2F">
        <w:rPr>
          <w:b/>
        </w:rPr>
        <w:t>1963/18</w:t>
      </w:r>
      <w:r w:rsidR="00833A88" w:rsidRPr="00297357">
        <w:rPr>
          <w:b/>
        </w:rPr>
        <w:t xml:space="preserve"> </w:t>
      </w:r>
      <w:r w:rsidR="00A03FE5" w:rsidRPr="00785153">
        <w:rPr>
          <w:b/>
        </w:rPr>
        <w:t>v</w:t>
      </w:r>
      <w:r w:rsidR="00A03FE5">
        <w:rPr>
          <w:b/>
        </w:rPr>
        <w:t> bytovém domě</w:t>
      </w:r>
      <w:r w:rsidR="00A03FE5" w:rsidRPr="00785153">
        <w:rPr>
          <w:b/>
        </w:rPr>
        <w:t xml:space="preserve"> č.p.</w:t>
      </w:r>
      <w:r w:rsidR="00A03FE5">
        <w:rPr>
          <w:b/>
        </w:rPr>
        <w:t xml:space="preserve"> </w:t>
      </w:r>
      <w:r w:rsidR="00430178">
        <w:rPr>
          <w:b/>
        </w:rPr>
        <w:t>1963</w:t>
      </w:r>
      <w:r w:rsidR="00286E87">
        <w:rPr>
          <w:b/>
        </w:rPr>
        <w:t xml:space="preserve"> (</w:t>
      </w:r>
      <w:r w:rsidR="00203119">
        <w:rPr>
          <w:b/>
        </w:rPr>
        <w:t>nám. Svobody 4</w:t>
      </w:r>
      <w:r w:rsidR="00286E87">
        <w:rPr>
          <w:b/>
        </w:rPr>
        <w:t>)</w:t>
      </w:r>
      <w:r w:rsidR="00A03FE5" w:rsidRPr="00956327">
        <w:rPr>
          <w:b/>
        </w:rPr>
        <w:t>,</w:t>
      </w:r>
      <w:r w:rsidR="00A03FE5" w:rsidRPr="00941913">
        <w:rPr>
          <w:b/>
          <w:color w:val="FF0000"/>
        </w:rPr>
        <w:t xml:space="preserve"> </w:t>
      </w:r>
      <w:r w:rsidR="00A03FE5" w:rsidRPr="00785153">
        <w:rPr>
          <w:b/>
        </w:rPr>
        <w:t>příslušné</w:t>
      </w:r>
      <w:r w:rsidR="00A03FE5">
        <w:rPr>
          <w:b/>
        </w:rPr>
        <w:t>m</w:t>
      </w:r>
      <w:r w:rsidR="00A03FE5" w:rsidRPr="00785153">
        <w:rPr>
          <w:b/>
        </w:rPr>
        <w:t xml:space="preserve"> k části obce Přerov I-Město, postavené</w:t>
      </w:r>
      <w:r w:rsidR="00A03FE5">
        <w:rPr>
          <w:b/>
        </w:rPr>
        <w:t>m</w:t>
      </w:r>
      <w:r w:rsidR="00A03FE5" w:rsidRPr="00785153">
        <w:rPr>
          <w:b/>
        </w:rPr>
        <w:t xml:space="preserve"> na pozem</w:t>
      </w:r>
      <w:r w:rsidR="00B62440">
        <w:rPr>
          <w:b/>
        </w:rPr>
        <w:t>ku</w:t>
      </w:r>
      <w:r w:rsidR="00A03FE5" w:rsidRPr="00785153">
        <w:rPr>
          <w:b/>
        </w:rPr>
        <w:t xml:space="preserve"> p.č.</w:t>
      </w:r>
      <w:r w:rsidR="00A03FE5">
        <w:rPr>
          <w:b/>
        </w:rPr>
        <w:t xml:space="preserve"> </w:t>
      </w:r>
      <w:r w:rsidR="00455B76">
        <w:rPr>
          <w:b/>
        </w:rPr>
        <w:t>2139</w:t>
      </w:r>
      <w:r w:rsidR="00A03FE5">
        <w:rPr>
          <w:b/>
        </w:rPr>
        <w:t xml:space="preserve"> </w:t>
      </w:r>
      <w:r w:rsidR="005E7AC5">
        <w:rPr>
          <w:b/>
        </w:rPr>
        <w:t xml:space="preserve">(zastavěná plocha a nádvoří) </w:t>
      </w:r>
      <w:r w:rsidR="009D3A2A">
        <w:rPr>
          <w:b/>
          <w:color w:val="FF0000"/>
        </w:rPr>
        <w:t xml:space="preserve"> </w:t>
      </w:r>
      <w:r w:rsidR="005E7AC5" w:rsidRPr="00785153">
        <w:rPr>
          <w:b/>
        </w:rPr>
        <w:t>o</w:t>
      </w:r>
      <w:r w:rsidR="005E7AC5">
        <w:rPr>
          <w:b/>
        </w:rPr>
        <w:t> </w:t>
      </w:r>
      <w:r w:rsidR="005E7AC5" w:rsidRPr="00785153">
        <w:rPr>
          <w:b/>
        </w:rPr>
        <w:t xml:space="preserve">výměře </w:t>
      </w:r>
      <w:r w:rsidR="00455B76">
        <w:rPr>
          <w:b/>
        </w:rPr>
        <w:t>787</w:t>
      </w:r>
      <w:r w:rsidR="005E7AC5">
        <w:rPr>
          <w:b/>
        </w:rPr>
        <w:t> </w:t>
      </w:r>
      <w:r w:rsidR="005E7AC5" w:rsidRPr="00785153">
        <w:rPr>
          <w:b/>
        </w:rPr>
        <w:t>m</w:t>
      </w:r>
      <w:r w:rsidR="005E7AC5">
        <w:rPr>
          <w:b/>
          <w:vertAlign w:val="superscript"/>
        </w:rPr>
        <w:t>2</w:t>
      </w:r>
      <w:r>
        <w:rPr>
          <w:b/>
          <w:vertAlign w:val="superscript"/>
        </w:rPr>
        <w:t xml:space="preserve"> </w:t>
      </w:r>
      <w:r w:rsidR="00042CB4">
        <w:rPr>
          <w:b/>
        </w:rPr>
        <w:t xml:space="preserve">v </w:t>
      </w:r>
      <w:r>
        <w:rPr>
          <w:b/>
        </w:rPr>
        <w:t>k.ú. Přerov</w:t>
      </w:r>
      <w:r w:rsidR="005E7AC5">
        <w:rPr>
          <w:b/>
        </w:rPr>
        <w:t xml:space="preserve">, </w:t>
      </w:r>
      <w:r w:rsidR="00A03FE5" w:rsidRPr="00785153">
        <w:rPr>
          <w:b/>
        </w:rPr>
        <w:t xml:space="preserve">podílu </w:t>
      </w:r>
      <w:r w:rsidR="00A03FE5">
        <w:rPr>
          <w:b/>
        </w:rPr>
        <w:t xml:space="preserve">id. </w:t>
      </w:r>
      <w:r w:rsidR="00D02263">
        <w:rPr>
          <w:b/>
        </w:rPr>
        <w:t>7722</w:t>
      </w:r>
      <w:r w:rsidR="00B27CD7">
        <w:rPr>
          <w:b/>
        </w:rPr>
        <w:t>/</w:t>
      </w:r>
      <w:r w:rsidR="004E6C39">
        <w:rPr>
          <w:b/>
        </w:rPr>
        <w:t>185721</w:t>
      </w:r>
      <w:r w:rsidR="00956327">
        <w:rPr>
          <w:b/>
        </w:rPr>
        <w:t xml:space="preserve"> </w:t>
      </w:r>
      <w:r w:rsidR="00A03FE5" w:rsidRPr="00785153">
        <w:rPr>
          <w:b/>
        </w:rPr>
        <w:t>na</w:t>
      </w:r>
      <w:r w:rsidR="00A03FE5">
        <w:rPr>
          <w:b/>
        </w:rPr>
        <w:t> </w:t>
      </w:r>
      <w:r w:rsidR="00A03FE5" w:rsidRPr="00785153">
        <w:rPr>
          <w:b/>
        </w:rPr>
        <w:t xml:space="preserve">společných částech </w:t>
      </w:r>
      <w:r w:rsidR="00A03FE5">
        <w:rPr>
          <w:b/>
        </w:rPr>
        <w:t>bytového domu</w:t>
      </w:r>
      <w:r w:rsidR="00A03FE5" w:rsidRPr="00785153">
        <w:rPr>
          <w:b/>
        </w:rPr>
        <w:t xml:space="preserve"> č.p.</w:t>
      </w:r>
      <w:r w:rsidR="00A03FE5">
        <w:rPr>
          <w:b/>
        </w:rPr>
        <w:t> </w:t>
      </w:r>
      <w:r w:rsidR="004E6C39">
        <w:rPr>
          <w:b/>
        </w:rPr>
        <w:t>1963</w:t>
      </w:r>
      <w:r w:rsidR="00914C8A">
        <w:rPr>
          <w:b/>
        </w:rPr>
        <w:t xml:space="preserve"> na pozem</w:t>
      </w:r>
      <w:r w:rsidR="00B52F90">
        <w:rPr>
          <w:b/>
        </w:rPr>
        <w:t>ku</w:t>
      </w:r>
      <w:r w:rsidR="00914C8A">
        <w:rPr>
          <w:b/>
        </w:rPr>
        <w:t xml:space="preserve"> p.č. </w:t>
      </w:r>
      <w:r w:rsidR="00E716F5">
        <w:rPr>
          <w:b/>
        </w:rPr>
        <w:t>2139</w:t>
      </w:r>
      <w:r w:rsidR="00DF77A6">
        <w:rPr>
          <w:b/>
        </w:rPr>
        <w:t xml:space="preserve"> (zastavěná plocha a nádvoří)</w:t>
      </w:r>
      <w:r w:rsidR="00FD15D2">
        <w:rPr>
          <w:b/>
        </w:rPr>
        <w:t xml:space="preserve"> </w:t>
      </w:r>
      <w:r w:rsidR="00FD15D2">
        <w:rPr>
          <w:b/>
          <w:color w:val="FF0000"/>
        </w:rPr>
        <w:t xml:space="preserve"> </w:t>
      </w:r>
      <w:r w:rsidR="00E716F5">
        <w:rPr>
          <w:b/>
        </w:rPr>
        <w:t>v k.ú. Přerov</w:t>
      </w:r>
      <w:r w:rsidR="00956327">
        <w:rPr>
          <w:b/>
        </w:rPr>
        <w:t xml:space="preserve"> </w:t>
      </w:r>
      <w:r w:rsidR="005E7AC5">
        <w:rPr>
          <w:b/>
        </w:rPr>
        <w:t xml:space="preserve">a podílu id. </w:t>
      </w:r>
      <w:r w:rsidR="000958FA">
        <w:rPr>
          <w:b/>
        </w:rPr>
        <w:t xml:space="preserve">7722/185721 </w:t>
      </w:r>
      <w:r w:rsidR="005E7AC5">
        <w:rPr>
          <w:b/>
        </w:rPr>
        <w:t>na pozem</w:t>
      </w:r>
      <w:r w:rsidR="00E716F5">
        <w:rPr>
          <w:b/>
        </w:rPr>
        <w:t>cích</w:t>
      </w:r>
      <w:r w:rsidR="005E7AC5">
        <w:rPr>
          <w:b/>
        </w:rPr>
        <w:t xml:space="preserve"> p.č. </w:t>
      </w:r>
      <w:r w:rsidR="00D7117B">
        <w:rPr>
          <w:b/>
        </w:rPr>
        <w:t>2139</w:t>
      </w:r>
      <w:r w:rsidR="00666D70">
        <w:rPr>
          <w:b/>
        </w:rPr>
        <w:t xml:space="preserve"> (zastavěná plocha a nádvoří)</w:t>
      </w:r>
      <w:r w:rsidR="00DF77A6">
        <w:rPr>
          <w:b/>
        </w:rPr>
        <w:t xml:space="preserve"> a p.č. 2140</w:t>
      </w:r>
      <w:r w:rsidR="00D34873">
        <w:rPr>
          <w:b/>
        </w:rPr>
        <w:t xml:space="preserve"> (ostatní plocha), oba</w:t>
      </w:r>
      <w:r w:rsidR="006F0C3B">
        <w:rPr>
          <w:b/>
        </w:rPr>
        <w:t xml:space="preserve"> </w:t>
      </w:r>
      <w:r w:rsidR="005E7AC5">
        <w:rPr>
          <w:b/>
        </w:rPr>
        <w:t>v k.ú. Přerov</w:t>
      </w:r>
      <w:r w:rsidR="00A03FE5">
        <w:rPr>
          <w:b/>
        </w:rPr>
        <w:t>.</w:t>
      </w:r>
    </w:p>
    <w:p w14:paraId="1FAA7D6B" w14:textId="77777777" w:rsidR="006F0C3B" w:rsidRDefault="006F0C3B" w:rsidP="00D31C8F">
      <w:pPr>
        <w:jc w:val="center"/>
        <w:rPr>
          <w:b/>
        </w:rPr>
      </w:pPr>
    </w:p>
    <w:p w14:paraId="1FAA7D6C" w14:textId="77777777" w:rsidR="00D31C8F" w:rsidRPr="007B34D6" w:rsidRDefault="00D31C8F" w:rsidP="00D31C8F">
      <w:pPr>
        <w:jc w:val="center"/>
        <w:rPr>
          <w:b/>
        </w:rPr>
      </w:pPr>
      <w:r w:rsidRPr="007B34D6">
        <w:rPr>
          <w:b/>
        </w:rPr>
        <w:t>Článek II.</w:t>
      </w:r>
    </w:p>
    <w:p w14:paraId="1FAA7D6D" w14:textId="13E99EF5" w:rsidR="004E053F" w:rsidRPr="007B34D6" w:rsidRDefault="006F0C3B" w:rsidP="00212395">
      <w:pPr>
        <w:spacing w:after="240"/>
        <w:jc w:val="center"/>
        <w:rPr>
          <w:b/>
        </w:rPr>
      </w:pPr>
      <w:r w:rsidRPr="007B34D6">
        <w:rPr>
          <w:b/>
        </w:rPr>
        <w:t>Bytová</w:t>
      </w:r>
      <w:r w:rsidR="0073063C" w:rsidRPr="007B34D6">
        <w:rPr>
          <w:b/>
        </w:rPr>
        <w:t xml:space="preserve"> jednotka</w:t>
      </w:r>
      <w:r w:rsidR="00B53F18" w:rsidRPr="007B34D6">
        <w:rPr>
          <w:b/>
        </w:rPr>
        <w:t xml:space="preserve"> č.</w:t>
      </w:r>
      <w:r w:rsidR="00B12669" w:rsidRPr="007B34D6">
        <w:rPr>
          <w:b/>
        </w:rPr>
        <w:t> </w:t>
      </w:r>
      <w:r w:rsidR="00BA5014" w:rsidRPr="007B34D6">
        <w:rPr>
          <w:b/>
        </w:rPr>
        <w:t>1963</w:t>
      </w:r>
      <w:r w:rsidR="007B34D6" w:rsidRPr="007B34D6">
        <w:rPr>
          <w:b/>
        </w:rPr>
        <w:t>/18</w:t>
      </w:r>
    </w:p>
    <w:p w14:paraId="1FAA7D6E" w14:textId="5FB580F2" w:rsidR="00D5295C" w:rsidRDefault="00D5295C" w:rsidP="00D5295C">
      <w:pPr>
        <w:spacing w:after="120"/>
        <w:jc w:val="both"/>
      </w:pPr>
      <w:r>
        <w:t xml:space="preserve">(1) </w:t>
      </w:r>
      <w:r w:rsidR="0073063C">
        <w:t>B</w:t>
      </w:r>
      <w:r w:rsidR="00B53F18">
        <w:t>ytov</w:t>
      </w:r>
      <w:r w:rsidR="0073063C">
        <w:t>á</w:t>
      </w:r>
      <w:r w:rsidR="00B53F18">
        <w:t xml:space="preserve"> </w:t>
      </w:r>
      <w:r w:rsidR="0073063C">
        <w:t>jednotka</w:t>
      </w:r>
      <w:r w:rsidR="006035EE">
        <w:t xml:space="preserve"> </w:t>
      </w:r>
      <w:r w:rsidR="00EE1A12">
        <w:t>č.</w:t>
      </w:r>
      <w:r w:rsidR="005633B2">
        <w:t xml:space="preserve"> </w:t>
      </w:r>
      <w:r w:rsidR="007B34D6">
        <w:t>1963/18</w:t>
      </w:r>
      <w:r w:rsidR="00EE1A12">
        <w:t xml:space="preserve"> </w:t>
      </w:r>
      <w:r w:rsidR="00785153">
        <w:t>se nachází</w:t>
      </w:r>
      <w:r w:rsidR="006035EE">
        <w:t xml:space="preserve"> v</w:t>
      </w:r>
      <w:r w:rsidR="007040E3">
        <w:t>e</w:t>
      </w:r>
      <w:r w:rsidR="0047550B">
        <w:t> </w:t>
      </w:r>
      <w:r w:rsidR="007040E3">
        <w:t>4</w:t>
      </w:r>
      <w:r w:rsidR="0047550B">
        <w:t xml:space="preserve">. </w:t>
      </w:r>
      <w:r w:rsidR="00316624">
        <w:t>MeP</w:t>
      </w:r>
      <w:r w:rsidR="006035EE">
        <w:t xml:space="preserve"> </w:t>
      </w:r>
      <w:r w:rsidR="00B53F18">
        <w:t xml:space="preserve">bytového domu č.p. </w:t>
      </w:r>
      <w:r w:rsidR="00C45DD7">
        <w:t>1963</w:t>
      </w:r>
      <w:r w:rsidR="00956327">
        <w:t xml:space="preserve"> </w:t>
      </w:r>
      <w:r w:rsidR="006035EE">
        <w:t>a je</w:t>
      </w:r>
      <w:r w:rsidR="0073063C">
        <w:t>jí</w:t>
      </w:r>
      <w:r w:rsidR="006035EE">
        <w:t xml:space="preserve"> celkov</w:t>
      </w:r>
      <w:r w:rsidR="00EE1A12">
        <w:t>á</w:t>
      </w:r>
      <w:r w:rsidR="006035EE">
        <w:t xml:space="preserve"> </w:t>
      </w:r>
      <w:r w:rsidR="006E0BB8">
        <w:t xml:space="preserve">plocha </w:t>
      </w:r>
      <w:r w:rsidR="006035EE">
        <w:t>je</w:t>
      </w:r>
      <w:r w:rsidR="00DD25B2">
        <w:t xml:space="preserve"> </w:t>
      </w:r>
      <w:r w:rsidR="00D53A07">
        <w:t>77,22</w:t>
      </w:r>
      <w:r w:rsidR="006035EE">
        <w:t xml:space="preserve"> m</w:t>
      </w:r>
      <w:r w:rsidR="006035EE">
        <w:rPr>
          <w:vertAlign w:val="superscript"/>
        </w:rPr>
        <w:t>2</w:t>
      </w:r>
      <w:r w:rsidR="006035EE">
        <w:t>.</w:t>
      </w:r>
      <w:r w:rsidR="00EE1A12">
        <w:t xml:space="preserve"> </w:t>
      </w:r>
    </w:p>
    <w:p w14:paraId="1FAA7D6F" w14:textId="352F2229" w:rsidR="00D5295C" w:rsidRPr="00BD3539" w:rsidRDefault="00D5295C" w:rsidP="00D5295C">
      <w:pPr>
        <w:jc w:val="both"/>
        <w:rPr>
          <w:b/>
          <w:bCs/>
        </w:rPr>
      </w:pPr>
      <w:r w:rsidRPr="00BD3539">
        <w:rPr>
          <w:b/>
          <w:bCs/>
        </w:rPr>
        <w:t xml:space="preserve">      </w:t>
      </w:r>
      <w:r w:rsidR="0073063C" w:rsidRPr="00BD3539">
        <w:rPr>
          <w:b/>
          <w:bCs/>
        </w:rPr>
        <w:t>Bytová jednotka</w:t>
      </w:r>
      <w:r w:rsidRPr="00BD3539">
        <w:rPr>
          <w:b/>
          <w:bCs/>
        </w:rPr>
        <w:t xml:space="preserve"> č. </w:t>
      </w:r>
      <w:r w:rsidR="00010996" w:rsidRPr="00BD3539">
        <w:rPr>
          <w:b/>
          <w:bCs/>
        </w:rPr>
        <w:t>1963/18</w:t>
      </w:r>
      <w:r w:rsidRPr="00BD3539">
        <w:rPr>
          <w:b/>
          <w:bCs/>
        </w:rPr>
        <w:t xml:space="preserve"> se skládá z:</w:t>
      </w:r>
    </w:p>
    <w:p w14:paraId="7F5D19A7" w14:textId="77777777" w:rsidR="00BD3539" w:rsidRDefault="00BD3539" w:rsidP="00D5295C">
      <w:pPr>
        <w:jc w:val="both"/>
      </w:pPr>
    </w:p>
    <w:p w14:paraId="1FAA7D70" w14:textId="25082137" w:rsidR="00956327" w:rsidRPr="00956327" w:rsidRDefault="00FB3DC2" w:rsidP="00A10A6C">
      <w:pPr>
        <w:jc w:val="both"/>
        <w:rPr>
          <w:vertAlign w:val="superscript"/>
        </w:rPr>
      </w:pPr>
      <w:r>
        <w:t xml:space="preserve">      </w:t>
      </w:r>
      <w:r w:rsidR="00950E50">
        <w:t>K</w:t>
      </w:r>
      <w:r w:rsidR="00DD25B2">
        <w:t>uchy</w:t>
      </w:r>
      <w:r w:rsidR="00950E50">
        <w:t>ň</w:t>
      </w:r>
      <w:r w:rsidR="00010996">
        <w:tab/>
      </w:r>
      <w:r>
        <w:tab/>
      </w:r>
      <w:r>
        <w:tab/>
      </w:r>
      <w:r w:rsidR="00950E50">
        <w:tab/>
        <w:t xml:space="preserve">       </w:t>
      </w:r>
      <w:r w:rsidR="00010996">
        <w:t>13,41</w:t>
      </w:r>
      <w:r w:rsidR="00956327">
        <w:t xml:space="preserve"> m</w:t>
      </w:r>
      <w:r w:rsidR="00956327">
        <w:rPr>
          <w:vertAlign w:val="superscript"/>
        </w:rPr>
        <w:t>2</w:t>
      </w:r>
    </w:p>
    <w:p w14:paraId="1FAA7D71" w14:textId="45DF4822" w:rsidR="00D5295C" w:rsidRDefault="00956327" w:rsidP="00956327">
      <w:pPr>
        <w:jc w:val="both"/>
        <w:rPr>
          <w:vertAlign w:val="superscript"/>
        </w:rPr>
      </w:pPr>
      <w:r>
        <w:t xml:space="preserve">      </w:t>
      </w:r>
      <w:r w:rsidR="00950E50">
        <w:t>Pokoj</w:t>
      </w:r>
      <w:r w:rsidR="00D5295C">
        <w:t xml:space="preserve">  </w:t>
      </w:r>
      <w:r w:rsidR="002F63F6">
        <w:t>1</w:t>
      </w:r>
      <w:r w:rsidR="00D5295C">
        <w:t xml:space="preserve">                         </w:t>
      </w:r>
      <w:r w:rsidR="00A10A6C">
        <w:t xml:space="preserve">  </w:t>
      </w:r>
      <w:r w:rsidR="00FB3DC2">
        <w:t xml:space="preserve">      </w:t>
      </w:r>
      <w:r w:rsidR="00BC5F74">
        <w:tab/>
        <w:t xml:space="preserve">       1</w:t>
      </w:r>
      <w:r w:rsidR="002F63F6">
        <w:t>9</w:t>
      </w:r>
      <w:r w:rsidR="00FB3DC2">
        <w:t>,</w:t>
      </w:r>
      <w:r w:rsidR="002F63F6">
        <w:t>86</w:t>
      </w:r>
      <w:r w:rsidR="00D5295C">
        <w:t xml:space="preserve"> m</w:t>
      </w:r>
      <w:r w:rsidR="00D5295C">
        <w:rPr>
          <w:vertAlign w:val="superscript"/>
        </w:rPr>
        <w:t>2</w:t>
      </w:r>
    </w:p>
    <w:p w14:paraId="048FB769" w14:textId="16C98CB5" w:rsidR="002F63F6" w:rsidRDefault="00BE22B4" w:rsidP="00E02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339"/>
        </w:tabs>
        <w:jc w:val="both"/>
        <w:rPr>
          <w:vertAlign w:val="superscript"/>
        </w:rPr>
      </w:pPr>
      <w:r>
        <w:t xml:space="preserve">      Pokoj  2                                 </w:t>
      </w:r>
      <w:r>
        <w:tab/>
        <w:t xml:space="preserve">       </w:t>
      </w:r>
      <w:r w:rsidR="00E02B67">
        <w:t>22</w:t>
      </w:r>
      <w:r>
        <w:t>,</w:t>
      </w:r>
      <w:r w:rsidR="00E02B67">
        <w:t>7</w:t>
      </w:r>
      <w:r>
        <w:t>6 m</w:t>
      </w:r>
      <w:r>
        <w:rPr>
          <w:vertAlign w:val="superscript"/>
        </w:rPr>
        <w:t>2</w:t>
      </w:r>
      <w:r w:rsidR="00E02B67">
        <w:rPr>
          <w:vertAlign w:val="superscript"/>
        </w:rPr>
        <w:tab/>
      </w:r>
    </w:p>
    <w:p w14:paraId="1FAA7D72" w14:textId="343B2423" w:rsidR="007000B0" w:rsidRDefault="00956327" w:rsidP="00666D66">
      <w:pPr>
        <w:jc w:val="both"/>
        <w:rPr>
          <w:vertAlign w:val="superscript"/>
        </w:rPr>
      </w:pPr>
      <w:r>
        <w:t xml:space="preserve">      </w:t>
      </w:r>
      <w:r w:rsidR="00950E50">
        <w:t>Předsíň</w:t>
      </w:r>
      <w:r>
        <w:t xml:space="preserve">  </w:t>
      </w:r>
      <w:r w:rsidR="00FB3DC2">
        <w:t xml:space="preserve">                             </w:t>
      </w:r>
      <w:r w:rsidR="00BC5F74">
        <w:tab/>
        <w:t xml:space="preserve">       </w:t>
      </w:r>
      <w:r w:rsidR="00950E50">
        <w:t>1</w:t>
      </w:r>
      <w:r w:rsidR="00695307">
        <w:t>3</w:t>
      </w:r>
      <w:r w:rsidR="00FB3DC2">
        <w:t>,</w:t>
      </w:r>
      <w:r w:rsidR="00695307">
        <w:t>09</w:t>
      </w:r>
      <w:r>
        <w:t xml:space="preserve"> m</w:t>
      </w:r>
      <w:r>
        <w:rPr>
          <w:vertAlign w:val="superscript"/>
        </w:rPr>
        <w:t>2</w:t>
      </w:r>
    </w:p>
    <w:p w14:paraId="41691C34" w14:textId="1E70FD49" w:rsidR="00950E50" w:rsidRDefault="000E3E51" w:rsidP="00C109F9">
      <w:pPr>
        <w:jc w:val="both"/>
        <w:rPr>
          <w:vertAlign w:val="superscript"/>
        </w:rPr>
      </w:pPr>
      <w:r>
        <w:t xml:space="preserve">      WC</w:t>
      </w:r>
      <w:r w:rsidR="00695307">
        <w:tab/>
      </w:r>
      <w:r>
        <w:tab/>
      </w:r>
      <w:r>
        <w:tab/>
      </w:r>
      <w:r>
        <w:tab/>
      </w:r>
      <w:r w:rsidR="00950E50">
        <w:t xml:space="preserve">         </w:t>
      </w:r>
      <w:r>
        <w:t>1,</w:t>
      </w:r>
      <w:r w:rsidR="00695307">
        <w:t>7</w:t>
      </w:r>
      <w:r w:rsidR="00950E50">
        <w:t>5</w:t>
      </w:r>
      <w:r>
        <w:t xml:space="preserve"> m</w:t>
      </w:r>
      <w:r>
        <w:rPr>
          <w:vertAlign w:val="superscript"/>
        </w:rPr>
        <w:t>2</w:t>
      </w:r>
    </w:p>
    <w:p w14:paraId="493297CF" w14:textId="616A46A3" w:rsidR="00C109F9" w:rsidRDefault="00950E50" w:rsidP="00C109F9">
      <w:pPr>
        <w:jc w:val="both"/>
        <w:rPr>
          <w:vertAlign w:val="superscript"/>
        </w:rPr>
      </w:pPr>
      <w:r>
        <w:rPr>
          <w:vertAlign w:val="superscript"/>
        </w:rPr>
        <w:lastRenderedPageBreak/>
        <w:t xml:space="preserve">         </w:t>
      </w:r>
      <w:r w:rsidR="005949BF">
        <w:t>Koupelna</w:t>
      </w:r>
      <w:r w:rsidR="00C109F9">
        <w:t xml:space="preserve">                                   </w:t>
      </w:r>
      <w:r w:rsidR="00C109F9">
        <w:tab/>
        <w:t xml:space="preserve">         </w:t>
      </w:r>
      <w:r w:rsidR="005949BF">
        <w:t>4</w:t>
      </w:r>
      <w:r w:rsidR="00C109F9">
        <w:t>,</w:t>
      </w:r>
      <w:r w:rsidR="005949BF">
        <w:t>4</w:t>
      </w:r>
      <w:r>
        <w:t>4</w:t>
      </w:r>
      <w:r w:rsidR="00C109F9">
        <w:t xml:space="preserve"> m</w:t>
      </w:r>
      <w:r w:rsidR="00C109F9">
        <w:rPr>
          <w:vertAlign w:val="superscript"/>
        </w:rPr>
        <w:t>2</w:t>
      </w:r>
    </w:p>
    <w:p w14:paraId="31890905" w14:textId="7F9F2EBC" w:rsidR="005C5DF3" w:rsidRDefault="005C5DF3" w:rsidP="00CA2D1E">
      <w:pPr>
        <w:jc w:val="both"/>
      </w:pPr>
      <w:r>
        <w:t xml:space="preserve">      Spíž</w:t>
      </w:r>
      <w:r>
        <w:tab/>
      </w:r>
      <w:r>
        <w:tab/>
      </w:r>
      <w:r>
        <w:tab/>
      </w:r>
      <w:r>
        <w:tab/>
        <w:t xml:space="preserve">         1,91 m²</w:t>
      </w:r>
      <w:r>
        <w:tab/>
      </w:r>
      <w:r w:rsidR="00950E50">
        <w:t xml:space="preserve">      </w:t>
      </w:r>
    </w:p>
    <w:p w14:paraId="3B48E1DC" w14:textId="77777777" w:rsidR="005C5DF3" w:rsidRDefault="005C5DF3" w:rsidP="00CA2D1E">
      <w:pPr>
        <w:jc w:val="both"/>
      </w:pPr>
    </w:p>
    <w:p w14:paraId="353A4462" w14:textId="0CC61A7A" w:rsidR="002130BB" w:rsidRPr="00BD3539" w:rsidRDefault="00BD3539" w:rsidP="00CA2D1E">
      <w:pPr>
        <w:jc w:val="both"/>
        <w:rPr>
          <w:b/>
          <w:bCs/>
          <w:vertAlign w:val="superscript"/>
        </w:rPr>
      </w:pPr>
      <w:r>
        <w:rPr>
          <w:b/>
          <w:bCs/>
        </w:rPr>
        <w:t xml:space="preserve">     </w:t>
      </w:r>
      <w:r w:rsidR="00143BAF">
        <w:rPr>
          <w:b/>
          <w:bCs/>
        </w:rPr>
        <w:t xml:space="preserve"> </w:t>
      </w:r>
      <w:r w:rsidR="00950E50" w:rsidRPr="00BD3539">
        <w:rPr>
          <w:b/>
          <w:bCs/>
        </w:rPr>
        <w:t>Podlahová plocha celkem</w:t>
      </w:r>
      <w:r w:rsidR="00950E50" w:rsidRPr="00BD3539">
        <w:rPr>
          <w:b/>
          <w:bCs/>
        </w:rPr>
        <w:tab/>
        <w:t xml:space="preserve">         </w:t>
      </w:r>
      <w:r w:rsidR="002130BB" w:rsidRPr="00BD3539">
        <w:rPr>
          <w:b/>
          <w:bCs/>
        </w:rPr>
        <w:t>77</w:t>
      </w:r>
      <w:r w:rsidR="00950E50" w:rsidRPr="00BD3539">
        <w:rPr>
          <w:b/>
          <w:bCs/>
        </w:rPr>
        <w:t>,</w:t>
      </w:r>
      <w:r w:rsidR="002130BB" w:rsidRPr="00BD3539">
        <w:rPr>
          <w:b/>
          <w:bCs/>
        </w:rPr>
        <w:t>22</w:t>
      </w:r>
      <w:r w:rsidR="00950E50" w:rsidRPr="00BD3539">
        <w:rPr>
          <w:b/>
          <w:bCs/>
        </w:rPr>
        <w:t xml:space="preserve"> m</w:t>
      </w:r>
      <w:r w:rsidR="00950E50" w:rsidRPr="00BD3539">
        <w:rPr>
          <w:b/>
          <w:bCs/>
          <w:vertAlign w:val="superscript"/>
        </w:rPr>
        <w:t>2</w:t>
      </w:r>
    </w:p>
    <w:p w14:paraId="6B6CB81B" w14:textId="77777777" w:rsidR="001368FA" w:rsidRDefault="001368FA" w:rsidP="00CA2D1E">
      <w:pPr>
        <w:jc w:val="both"/>
        <w:rPr>
          <w:color w:val="FF0000"/>
        </w:rPr>
      </w:pPr>
    </w:p>
    <w:p w14:paraId="0861DF9A" w14:textId="19DF2ACF" w:rsidR="001368FA" w:rsidRPr="00143BAF" w:rsidRDefault="00143BAF" w:rsidP="00CA2D1E">
      <w:pPr>
        <w:jc w:val="both"/>
        <w:rPr>
          <w:b/>
          <w:bCs/>
        </w:rPr>
      </w:pPr>
      <w:r w:rsidRPr="00143BAF">
        <w:rPr>
          <w:b/>
          <w:bCs/>
        </w:rPr>
        <w:t xml:space="preserve">      </w:t>
      </w:r>
      <w:r w:rsidR="00C234DD" w:rsidRPr="00143BAF">
        <w:rPr>
          <w:b/>
          <w:bCs/>
        </w:rPr>
        <w:t>K bytové jednotce dále nál</w:t>
      </w:r>
      <w:r w:rsidR="001368FA" w:rsidRPr="00143BAF">
        <w:rPr>
          <w:b/>
          <w:bCs/>
        </w:rPr>
        <w:t xml:space="preserve">eží: </w:t>
      </w:r>
    </w:p>
    <w:p w14:paraId="5866E503" w14:textId="77777777" w:rsidR="001368FA" w:rsidRPr="00143BAF" w:rsidRDefault="001368FA" w:rsidP="00CA2D1E">
      <w:pPr>
        <w:jc w:val="both"/>
        <w:rPr>
          <w:b/>
          <w:bCs/>
          <w:color w:val="FF0000"/>
        </w:rPr>
      </w:pPr>
    </w:p>
    <w:p w14:paraId="1471C60C" w14:textId="77777777" w:rsidR="007F41FC" w:rsidRDefault="001368FA" w:rsidP="00CA2D1E">
      <w:pPr>
        <w:jc w:val="both"/>
      </w:pPr>
      <w:r>
        <w:rPr>
          <w:color w:val="FF0000"/>
        </w:rPr>
        <w:t xml:space="preserve">      </w:t>
      </w:r>
      <w:r>
        <w:t xml:space="preserve">Lodžie   </w:t>
      </w:r>
      <w:r w:rsidR="00DE154F">
        <w:tab/>
      </w:r>
      <w:r w:rsidR="00DE154F">
        <w:tab/>
      </w:r>
      <w:r w:rsidR="00DE154F">
        <w:tab/>
      </w:r>
      <w:r w:rsidR="00DE154F">
        <w:tab/>
        <w:t xml:space="preserve">          2,37 m²</w:t>
      </w:r>
    </w:p>
    <w:p w14:paraId="230E064C" w14:textId="4BD44792" w:rsidR="001368FA" w:rsidRPr="001368FA" w:rsidRDefault="007F41FC" w:rsidP="00CA2D1E">
      <w:pPr>
        <w:jc w:val="both"/>
      </w:pPr>
      <w:r>
        <w:t xml:space="preserve">      Sklepní kóje</w:t>
      </w:r>
      <w:r>
        <w:tab/>
      </w:r>
      <w:r>
        <w:tab/>
      </w:r>
      <w:r>
        <w:tab/>
        <w:t xml:space="preserve">          6,55</w:t>
      </w:r>
      <w:r w:rsidR="00230225">
        <w:t xml:space="preserve"> m²</w:t>
      </w:r>
      <w:r w:rsidR="00DE154F">
        <w:tab/>
      </w:r>
      <w:r w:rsidR="00DE154F">
        <w:tab/>
      </w:r>
      <w:r w:rsidR="00DE154F">
        <w:tab/>
      </w:r>
      <w:r w:rsidR="00DE154F">
        <w:tab/>
      </w:r>
      <w:r w:rsidR="00DE154F">
        <w:tab/>
      </w:r>
      <w:r w:rsidR="00DE154F">
        <w:tab/>
      </w:r>
      <w:r w:rsidR="00DE154F">
        <w:tab/>
      </w:r>
      <w:r w:rsidR="00DE154F">
        <w:tab/>
      </w:r>
      <w:r w:rsidR="00DE154F">
        <w:tab/>
      </w:r>
      <w:r w:rsidR="00DE154F">
        <w:tab/>
      </w:r>
    </w:p>
    <w:p w14:paraId="334F4715" w14:textId="0D3EF721" w:rsidR="00532E6B" w:rsidRPr="00143BAF" w:rsidRDefault="00C234DD" w:rsidP="00CA2D1E">
      <w:pPr>
        <w:jc w:val="both"/>
      </w:pPr>
      <w:r w:rsidRPr="00143BAF">
        <w:t>V</w:t>
      </w:r>
      <w:r w:rsidR="00532E6B" w:rsidRPr="00143BAF">
        <w:t xml:space="preserve">ybavení </w:t>
      </w:r>
      <w:r w:rsidR="00CB4DD6" w:rsidRPr="00143BAF">
        <w:t>náležející k jednotce:</w:t>
      </w:r>
    </w:p>
    <w:p w14:paraId="25655D29" w14:textId="76A0D7B2" w:rsidR="00BA7BDC" w:rsidRDefault="00D20F81" w:rsidP="00CA2D1E">
      <w:pPr>
        <w:jc w:val="both"/>
      </w:pPr>
      <w:r>
        <w:tab/>
      </w:r>
      <w:r w:rsidR="00CB4DD6">
        <w:t xml:space="preserve">a) </w:t>
      </w:r>
      <w:r w:rsidR="005C6ECF">
        <w:t xml:space="preserve">kuchyňská </w:t>
      </w:r>
      <w:r w:rsidR="00BA7BDC">
        <w:t>linka</w:t>
      </w:r>
      <w:r w:rsidR="00950E50">
        <w:t xml:space="preserve"> </w:t>
      </w:r>
      <w:r w:rsidR="00B66019">
        <w:t xml:space="preserve">  </w:t>
      </w:r>
      <w:r w:rsidR="00B66019">
        <w:tab/>
      </w:r>
      <w:r w:rsidR="00BA7BDC">
        <w:t xml:space="preserve"> </w:t>
      </w:r>
      <w:r w:rsidR="00C219FB">
        <w:tab/>
      </w:r>
      <w:r w:rsidR="00C219FB">
        <w:tab/>
      </w:r>
      <w:r w:rsidR="00BA7BDC">
        <w:t>1</w:t>
      </w:r>
      <w:r w:rsidR="00C219FB">
        <w:t xml:space="preserve"> </w:t>
      </w:r>
      <w:r w:rsidR="00BA7BDC">
        <w:t>ks</w:t>
      </w:r>
    </w:p>
    <w:p w14:paraId="46F8682D" w14:textId="51FE53A9" w:rsidR="00BA7BDC" w:rsidRDefault="005272B1" w:rsidP="00CA2D1E">
      <w:pPr>
        <w:jc w:val="both"/>
      </w:pPr>
      <w:r>
        <w:tab/>
      </w:r>
      <w:r w:rsidR="00950E50">
        <w:t>b</w:t>
      </w:r>
      <w:r w:rsidR="00BA7BDC">
        <w:t xml:space="preserve">) </w:t>
      </w:r>
      <w:r w:rsidR="00B66019">
        <w:t>sporák plynový</w:t>
      </w:r>
      <w:r w:rsidR="00BA7BDC">
        <w:t xml:space="preserve"> </w:t>
      </w:r>
      <w:r w:rsidR="00C219FB">
        <w:tab/>
      </w:r>
      <w:r w:rsidR="00C219FB">
        <w:tab/>
      </w:r>
      <w:r w:rsidR="00C219FB">
        <w:tab/>
      </w:r>
      <w:r w:rsidR="00950E50">
        <w:t>1</w:t>
      </w:r>
      <w:r w:rsidR="00C219FB">
        <w:t xml:space="preserve"> </w:t>
      </w:r>
      <w:r w:rsidR="00BA7BDC">
        <w:t>ks</w:t>
      </w:r>
    </w:p>
    <w:p w14:paraId="0827A341" w14:textId="42640DAF" w:rsidR="00BA7BDC" w:rsidRDefault="005272B1" w:rsidP="00CA2D1E">
      <w:pPr>
        <w:jc w:val="both"/>
      </w:pPr>
      <w:r>
        <w:tab/>
      </w:r>
      <w:r w:rsidR="00950E50">
        <w:t>c</w:t>
      </w:r>
      <w:r w:rsidR="00BA7BDC">
        <w:t xml:space="preserve">) </w:t>
      </w:r>
      <w:r w:rsidR="00DE46F6">
        <w:t>el. bojler</w:t>
      </w:r>
      <w:r w:rsidR="00C219FB">
        <w:tab/>
      </w:r>
      <w:r w:rsidR="00C219FB">
        <w:tab/>
      </w:r>
      <w:r w:rsidR="00C219FB">
        <w:tab/>
      </w:r>
      <w:r w:rsidR="00C219FB">
        <w:tab/>
      </w:r>
      <w:r w:rsidR="00D20F81">
        <w:t>1</w:t>
      </w:r>
      <w:r w:rsidR="00C219FB">
        <w:t xml:space="preserve"> </w:t>
      </w:r>
      <w:r w:rsidR="00D20F81">
        <w:t>ks</w:t>
      </w:r>
    </w:p>
    <w:p w14:paraId="5D3AF4A4" w14:textId="294DDFB4" w:rsidR="00D20F81" w:rsidRDefault="005272B1" w:rsidP="00CA2D1E">
      <w:pPr>
        <w:jc w:val="both"/>
      </w:pPr>
      <w:r>
        <w:tab/>
      </w:r>
      <w:r w:rsidR="00950E50">
        <w:t>d</w:t>
      </w:r>
      <w:r w:rsidR="00D20F81">
        <w:t xml:space="preserve">) </w:t>
      </w:r>
      <w:r w:rsidR="00DE46F6">
        <w:t>el. průtokový ohřívač</w:t>
      </w:r>
      <w:r w:rsidR="00C219FB">
        <w:tab/>
      </w:r>
      <w:r w:rsidR="00950E50">
        <w:tab/>
        <w:t>1</w:t>
      </w:r>
      <w:r w:rsidR="00C219FB">
        <w:t xml:space="preserve"> ks</w:t>
      </w:r>
    </w:p>
    <w:p w14:paraId="408A227D" w14:textId="33C2A94A" w:rsidR="00D20F81" w:rsidRDefault="005272B1" w:rsidP="00CA2D1E">
      <w:pPr>
        <w:jc w:val="both"/>
      </w:pPr>
      <w:r>
        <w:tab/>
      </w:r>
      <w:r w:rsidR="00950E50">
        <w:t>e</w:t>
      </w:r>
      <w:r w:rsidR="00D20F81">
        <w:t xml:space="preserve">) </w:t>
      </w:r>
      <w:r w:rsidR="00DE46F6">
        <w:t>vana</w:t>
      </w:r>
      <w:r w:rsidR="00C835FC">
        <w:tab/>
      </w:r>
      <w:r w:rsidR="00C219FB">
        <w:tab/>
      </w:r>
      <w:r w:rsidR="00C219FB">
        <w:tab/>
      </w:r>
      <w:r w:rsidR="00C219FB">
        <w:tab/>
      </w:r>
      <w:r w:rsidR="00C219FB">
        <w:tab/>
        <w:t>1 ks</w:t>
      </w:r>
    </w:p>
    <w:p w14:paraId="07143F26" w14:textId="319BD9C4" w:rsidR="00D20F81" w:rsidRDefault="00C219FB" w:rsidP="00CA2D1E">
      <w:pPr>
        <w:jc w:val="both"/>
      </w:pPr>
      <w:r>
        <w:tab/>
      </w:r>
      <w:r w:rsidR="00950E50">
        <w:t>f</w:t>
      </w:r>
      <w:r w:rsidR="00D20F81">
        <w:t xml:space="preserve">) </w:t>
      </w:r>
      <w:r w:rsidR="00C835FC">
        <w:t>umývadlo</w:t>
      </w:r>
      <w:r w:rsidR="00D20F81">
        <w:t xml:space="preserve"> </w:t>
      </w:r>
      <w:r>
        <w:tab/>
      </w:r>
      <w:r>
        <w:tab/>
      </w:r>
      <w:r>
        <w:tab/>
      </w:r>
      <w:r>
        <w:tab/>
      </w:r>
      <w:r w:rsidR="00950E50">
        <w:t>1</w:t>
      </w:r>
      <w:r>
        <w:t xml:space="preserve"> </w:t>
      </w:r>
      <w:r w:rsidR="00D20F81">
        <w:t>ks</w:t>
      </w:r>
    </w:p>
    <w:p w14:paraId="13E8A66C" w14:textId="33A2A054" w:rsidR="00D20F81" w:rsidRPr="007000B0" w:rsidRDefault="00C219FB" w:rsidP="00CA2D1E">
      <w:pPr>
        <w:jc w:val="both"/>
        <w:rPr>
          <w:vertAlign w:val="superscript"/>
        </w:rPr>
      </w:pPr>
      <w:r>
        <w:tab/>
      </w:r>
      <w:r w:rsidR="00950E50">
        <w:t>g</w:t>
      </w:r>
      <w:r w:rsidR="00D20F81">
        <w:t xml:space="preserve">) </w:t>
      </w:r>
      <w:r w:rsidR="00C835FC">
        <w:t>plynová otopná tělesa</w:t>
      </w:r>
      <w:r>
        <w:tab/>
      </w:r>
      <w:r w:rsidR="00950E50">
        <w:tab/>
      </w:r>
      <w:r w:rsidR="00C835FC">
        <w:t>3</w:t>
      </w:r>
      <w:r>
        <w:t xml:space="preserve"> </w:t>
      </w:r>
      <w:r w:rsidR="00D20F81">
        <w:t>ks</w:t>
      </w:r>
    </w:p>
    <w:p w14:paraId="044EB603" w14:textId="77777777" w:rsidR="006B5AEC" w:rsidRPr="000E3E51" w:rsidRDefault="006B5AEC" w:rsidP="00666D66">
      <w:pPr>
        <w:jc w:val="both"/>
      </w:pPr>
    </w:p>
    <w:p w14:paraId="1FAA7D73" w14:textId="77777777" w:rsidR="00A10A6C" w:rsidRDefault="00A10A6C" w:rsidP="00A10A6C">
      <w:pPr>
        <w:jc w:val="both"/>
      </w:pPr>
    </w:p>
    <w:p w14:paraId="1FAA7D74" w14:textId="0892003A" w:rsidR="006035EE" w:rsidRDefault="00D5295C" w:rsidP="00E9759B">
      <w:pPr>
        <w:spacing w:after="120"/>
        <w:jc w:val="both"/>
      </w:pPr>
      <w:r>
        <w:t xml:space="preserve">(2)  </w:t>
      </w:r>
      <w:r w:rsidR="006035EE">
        <w:t xml:space="preserve">K vlastnictví </w:t>
      </w:r>
      <w:r w:rsidR="0073063C">
        <w:t>bytové jednotky</w:t>
      </w:r>
      <w:r w:rsidR="006035EE">
        <w:t xml:space="preserve"> </w:t>
      </w:r>
      <w:r>
        <w:t xml:space="preserve">č. </w:t>
      </w:r>
      <w:r w:rsidR="00125D77">
        <w:t>1963/18</w:t>
      </w:r>
      <w:r>
        <w:t xml:space="preserve"> </w:t>
      </w:r>
      <w:r w:rsidR="00E75A22">
        <w:t>náleží</w:t>
      </w:r>
      <w:r w:rsidR="006035EE">
        <w:t>:</w:t>
      </w:r>
    </w:p>
    <w:p w14:paraId="1FAA7D75" w14:textId="185F996B" w:rsidR="006035EE" w:rsidRDefault="00631907" w:rsidP="00A01B07">
      <w:pPr>
        <w:ind w:left="420"/>
        <w:jc w:val="both"/>
      </w:pPr>
      <w:r>
        <w:t xml:space="preserve">a) </w:t>
      </w:r>
      <w:r w:rsidR="006035EE">
        <w:t>nenosné vodorovné konstrukce (podlaha včetně podlahové krytiny</w:t>
      </w:r>
      <w:r w:rsidR="00BD33A4">
        <w:t xml:space="preserve"> a nenosné konstrukce lodžie</w:t>
      </w:r>
      <w:r w:rsidR="00950E50">
        <w:t>)</w:t>
      </w:r>
      <w:r w:rsidR="00C86D0A">
        <w:t>,</w:t>
      </w:r>
    </w:p>
    <w:p w14:paraId="1FAA7D76" w14:textId="6328DDF4" w:rsidR="006035EE" w:rsidRPr="007508F7" w:rsidRDefault="00D5295C" w:rsidP="00D5295C">
      <w:pPr>
        <w:jc w:val="both"/>
        <w:rPr>
          <w:b/>
        </w:rPr>
      </w:pPr>
      <w:r>
        <w:t xml:space="preserve">       </w:t>
      </w:r>
      <w:r w:rsidR="00631907">
        <w:t xml:space="preserve">b) </w:t>
      </w:r>
      <w:r w:rsidR="006035EE">
        <w:t>nenosné svislé konstrukce (</w:t>
      </w:r>
      <w:r w:rsidR="00D31C5B">
        <w:t>bytové příčky</w:t>
      </w:r>
      <w:r w:rsidR="006035EE">
        <w:t>)</w:t>
      </w:r>
      <w:r w:rsidR="00C86D0A">
        <w:t>,</w:t>
      </w:r>
    </w:p>
    <w:p w14:paraId="1FAA7D77" w14:textId="1F2CB149" w:rsidR="006035EE" w:rsidRPr="007508F7" w:rsidRDefault="00D5295C" w:rsidP="00D5295C">
      <w:pPr>
        <w:jc w:val="both"/>
        <w:rPr>
          <w:b/>
        </w:rPr>
      </w:pPr>
      <w:r>
        <w:t xml:space="preserve">       </w:t>
      </w:r>
      <w:r w:rsidR="00631907">
        <w:t xml:space="preserve">c) </w:t>
      </w:r>
      <w:r w:rsidR="006035EE">
        <w:t>vstupní dveře</w:t>
      </w:r>
      <w:r w:rsidR="00522C91">
        <w:t>, vnitřní dveře</w:t>
      </w:r>
      <w:r w:rsidR="003F6CF8">
        <w:t xml:space="preserve"> </w:t>
      </w:r>
      <w:r w:rsidR="003F6CF8" w:rsidRPr="00D34C36">
        <w:t>příslušející k</w:t>
      </w:r>
      <w:r w:rsidR="00BC15E4" w:rsidRPr="00D34C36">
        <w:t> </w:t>
      </w:r>
      <w:r w:rsidR="00022755">
        <w:t>bytu</w:t>
      </w:r>
      <w:r w:rsidR="00C86D0A" w:rsidRPr="00D34C36">
        <w:t>,</w:t>
      </w:r>
    </w:p>
    <w:p w14:paraId="1FAA7D78" w14:textId="4FBC79BD" w:rsidR="00EC6592" w:rsidRDefault="00D5295C" w:rsidP="00EC6592">
      <w:pPr>
        <w:tabs>
          <w:tab w:val="left" w:pos="709"/>
        </w:tabs>
        <w:ind w:left="709" w:hanging="709"/>
        <w:jc w:val="both"/>
      </w:pPr>
      <w:r>
        <w:t xml:space="preserve">       </w:t>
      </w:r>
      <w:r w:rsidR="00EC6592">
        <w:t xml:space="preserve">d) </w:t>
      </w:r>
      <w:r w:rsidR="006035EE">
        <w:t>veškeré vnitřní potrubní instalace za odbočnými ventily stoupacích vedení,</w:t>
      </w:r>
      <w:r w:rsidR="007000B0">
        <w:t xml:space="preserve"> </w:t>
      </w:r>
      <w:r w:rsidR="00950E50">
        <w:t xml:space="preserve">popřípadě </w:t>
      </w:r>
      <w:r w:rsidR="007000B0">
        <w:t>od zaústění do stoupacího vedení</w:t>
      </w:r>
      <w:r w:rsidR="00950E50">
        <w:t xml:space="preserve"> včetně příslušných výtokových armatur</w:t>
      </w:r>
      <w:r w:rsidR="00EC6592">
        <w:t>,</w:t>
      </w:r>
    </w:p>
    <w:p w14:paraId="1FAA7D7A" w14:textId="1376CBE9" w:rsidR="003F6CF8" w:rsidRDefault="00631907" w:rsidP="009744B4">
      <w:pPr>
        <w:tabs>
          <w:tab w:val="left" w:pos="709"/>
        </w:tabs>
        <w:ind w:left="709" w:hanging="283"/>
        <w:jc w:val="both"/>
      </w:pPr>
      <w:r>
        <w:t xml:space="preserve">e) </w:t>
      </w:r>
      <w:r w:rsidR="006035EE">
        <w:t xml:space="preserve">vnitřní el. </w:t>
      </w:r>
      <w:r w:rsidR="00EE1A12">
        <w:t>r</w:t>
      </w:r>
      <w:r w:rsidR="006035EE">
        <w:t>ozvody včetně zakončení (osv</w:t>
      </w:r>
      <w:r w:rsidR="00950E50">
        <w:t>ětlovací</w:t>
      </w:r>
      <w:r w:rsidR="006035EE">
        <w:t xml:space="preserve"> </w:t>
      </w:r>
      <w:r w:rsidR="00EE1A12">
        <w:t>těle</w:t>
      </w:r>
      <w:r w:rsidR="006035EE">
        <w:t xml:space="preserve">sa, </w:t>
      </w:r>
      <w:r w:rsidR="00950E50">
        <w:t xml:space="preserve">vypínače, </w:t>
      </w:r>
      <w:r w:rsidR="00666D66">
        <w:t>zásuvky</w:t>
      </w:r>
      <w:r w:rsidR="006035EE">
        <w:t>)</w:t>
      </w:r>
      <w:r w:rsidR="00E21E5A">
        <w:t xml:space="preserve"> od hlavního</w:t>
      </w:r>
      <w:r w:rsidR="006035EE">
        <w:t xml:space="preserve"> </w:t>
      </w:r>
      <w:r w:rsidR="00E21E5A">
        <w:t>el. jističe pro jednotku, který je umístěn před elektroměrem</w:t>
      </w:r>
      <w:r w:rsidR="00B53DE0">
        <w:t>,</w:t>
      </w:r>
    </w:p>
    <w:p w14:paraId="016B981B" w14:textId="2DAB3AE1" w:rsidR="00B53DE0" w:rsidRDefault="00B53DE0" w:rsidP="009744B4">
      <w:pPr>
        <w:tabs>
          <w:tab w:val="left" w:pos="709"/>
        </w:tabs>
        <w:ind w:left="709" w:hanging="283"/>
        <w:jc w:val="both"/>
      </w:pPr>
      <w:r>
        <w:t xml:space="preserve">f) </w:t>
      </w:r>
      <w:r w:rsidR="004000AE">
        <w:t>plynovodní potrubí včetně armatur od hlavního uzávěru plynu pro byt, který je umístěn</w:t>
      </w:r>
      <w:r w:rsidR="00FB7F7A">
        <w:t xml:space="preserve"> před plynoměrem.</w:t>
      </w:r>
    </w:p>
    <w:p w14:paraId="1FAA7D7B" w14:textId="77777777" w:rsidR="00631907" w:rsidRDefault="009C237A" w:rsidP="00D5295C">
      <w:pPr>
        <w:jc w:val="both"/>
      </w:pPr>
      <w:r>
        <w:t xml:space="preserve">       </w:t>
      </w:r>
      <w:r w:rsidR="00631907">
        <w:t xml:space="preserve">           </w:t>
      </w:r>
    </w:p>
    <w:p w14:paraId="1FAA7D7D" w14:textId="3AF828F0" w:rsidR="00631907" w:rsidRPr="005667D2" w:rsidRDefault="00EE1A12" w:rsidP="00641984">
      <w:pPr>
        <w:spacing w:after="240"/>
        <w:jc w:val="both"/>
      </w:pPr>
      <w:r>
        <w:t>(</w:t>
      </w:r>
      <w:r w:rsidR="00631907">
        <w:t>3</w:t>
      </w:r>
      <w:r>
        <w:t xml:space="preserve">) K vlastnictví </w:t>
      </w:r>
      <w:r w:rsidR="0073063C">
        <w:t>bytové jednotky</w:t>
      </w:r>
      <w:r>
        <w:t xml:space="preserve"> č.</w:t>
      </w:r>
      <w:r w:rsidR="00EC6592">
        <w:t xml:space="preserve"> </w:t>
      </w:r>
      <w:r w:rsidR="00265AB1">
        <w:t>1963/18</w:t>
      </w:r>
      <w:r>
        <w:t xml:space="preserve"> </w:t>
      </w:r>
      <w:r w:rsidR="00E75A22">
        <w:t>náleží</w:t>
      </w:r>
      <w:r>
        <w:t xml:space="preserve"> spoluvlastnický podíl</w:t>
      </w:r>
      <w:r w:rsidR="00265AB1">
        <w:t xml:space="preserve"> o velikosti</w:t>
      </w:r>
      <w:r>
        <w:t xml:space="preserve"> id</w:t>
      </w:r>
      <w:r w:rsidRPr="0073063C">
        <w:t>.</w:t>
      </w:r>
      <w:r w:rsidR="000F5D11" w:rsidRPr="0073063C">
        <w:t> </w:t>
      </w:r>
      <w:r w:rsidR="00265AB1">
        <w:t>7722/</w:t>
      </w:r>
      <w:r w:rsidR="007775C3">
        <w:t>185721</w:t>
      </w:r>
      <w:r w:rsidR="0073063C">
        <w:rPr>
          <w:b/>
        </w:rPr>
        <w:t xml:space="preserve"> </w:t>
      </w:r>
      <w:r>
        <w:t>na</w:t>
      </w:r>
      <w:r w:rsidR="005633B2">
        <w:t> </w:t>
      </w:r>
      <w:r>
        <w:t xml:space="preserve">společných částech </w:t>
      </w:r>
      <w:r w:rsidR="00631907">
        <w:t xml:space="preserve">bytového domu č.p. </w:t>
      </w:r>
      <w:r w:rsidR="007775C3">
        <w:t>1963</w:t>
      </w:r>
      <w:r w:rsidR="00B12669">
        <w:t xml:space="preserve">, </w:t>
      </w:r>
      <w:r w:rsidR="00631907">
        <w:t>které jsou uvedeny v </w:t>
      </w:r>
      <w:r w:rsidR="00631907" w:rsidRPr="005667D2">
        <w:t>čl.</w:t>
      </w:r>
      <w:r w:rsidR="00BB6974" w:rsidRPr="005667D2">
        <w:t> </w:t>
      </w:r>
      <w:r w:rsidR="00B23E2E" w:rsidRPr="005667D2">
        <w:t>III</w:t>
      </w:r>
      <w:r w:rsidR="00631907" w:rsidRPr="005667D2">
        <w:t xml:space="preserve">  </w:t>
      </w:r>
      <w:r w:rsidR="002539A1" w:rsidRPr="005667D2">
        <w:t xml:space="preserve">odst. 1 </w:t>
      </w:r>
      <w:r w:rsidR="00DC2D28" w:rsidRPr="005667D2">
        <w:t xml:space="preserve">a 2 </w:t>
      </w:r>
      <w:r w:rsidR="00631907" w:rsidRPr="005667D2">
        <w:t>smlouvy</w:t>
      </w:r>
      <w:r w:rsidRPr="005667D2">
        <w:t xml:space="preserve">. </w:t>
      </w:r>
    </w:p>
    <w:p w14:paraId="1FAA7D7E" w14:textId="50FE2A56" w:rsidR="00ED288D" w:rsidRPr="00EC1110" w:rsidRDefault="00785153" w:rsidP="008022C6">
      <w:pPr>
        <w:jc w:val="both"/>
      </w:pPr>
      <w:r w:rsidRPr="00EC1110">
        <w:t>(</w:t>
      </w:r>
      <w:r w:rsidR="00C732CE" w:rsidRPr="00EC1110">
        <w:t>4</w:t>
      </w:r>
      <w:r w:rsidRPr="00EC1110">
        <w:t xml:space="preserve">) </w:t>
      </w:r>
      <w:r w:rsidR="006F3BCC" w:rsidRPr="00EC1110">
        <w:t>K</w:t>
      </w:r>
      <w:r w:rsidR="000C1201" w:rsidRPr="00EC1110">
        <w:t xml:space="preserve"> vlastnictví </w:t>
      </w:r>
      <w:r w:rsidR="0073063C" w:rsidRPr="00EC1110">
        <w:t>bytové jednotky</w:t>
      </w:r>
      <w:r w:rsidRPr="00EC1110">
        <w:t xml:space="preserve"> č.</w:t>
      </w:r>
      <w:r w:rsidR="005633B2" w:rsidRPr="00EC1110">
        <w:t xml:space="preserve"> </w:t>
      </w:r>
      <w:r w:rsidR="002835A2">
        <w:t>1963/18</w:t>
      </w:r>
      <w:r w:rsidRPr="00EC1110">
        <w:t xml:space="preserve"> náleží </w:t>
      </w:r>
      <w:r w:rsidR="000C1201" w:rsidRPr="00EC1110">
        <w:t xml:space="preserve">spoluvlastnický </w:t>
      </w:r>
      <w:r w:rsidRPr="00EC1110">
        <w:t>podíl</w:t>
      </w:r>
      <w:r w:rsidR="003A75E2">
        <w:t xml:space="preserve"> o velikosti</w:t>
      </w:r>
      <w:r w:rsidRPr="00EC1110">
        <w:t xml:space="preserve"> id.</w:t>
      </w:r>
      <w:r w:rsidR="000C1201" w:rsidRPr="00EC1110">
        <w:t> </w:t>
      </w:r>
      <w:r w:rsidR="003A75E2">
        <w:t>7722/185721</w:t>
      </w:r>
      <w:r w:rsidR="0073063C" w:rsidRPr="00EC1110">
        <w:rPr>
          <w:b/>
        </w:rPr>
        <w:t xml:space="preserve"> </w:t>
      </w:r>
      <w:r w:rsidR="0055589F" w:rsidRPr="0055589F">
        <w:rPr>
          <w:bCs/>
        </w:rPr>
        <w:t>na pozemcích p.č. 2139 (zastavěná plocha a nádvoří) a p.č. 2140 (ostatní plocha), oba v k.ú. Přerov</w:t>
      </w:r>
      <w:r w:rsidRPr="0055589F">
        <w:rPr>
          <w:bCs/>
        </w:rPr>
        <w:t>.</w:t>
      </w:r>
      <w:r w:rsidRPr="00EC1110">
        <w:t xml:space="preserve"> </w:t>
      </w:r>
      <w:r w:rsidR="006F3BCC" w:rsidRPr="00EC1110">
        <w:t xml:space="preserve"> </w:t>
      </w:r>
    </w:p>
    <w:p w14:paraId="1FAA7D7F" w14:textId="77777777" w:rsidR="0073063C" w:rsidRDefault="0073063C" w:rsidP="00ED288D">
      <w:pPr>
        <w:jc w:val="center"/>
        <w:rPr>
          <w:b/>
          <w:bCs/>
        </w:rPr>
      </w:pPr>
    </w:p>
    <w:p w14:paraId="1FAA7D80" w14:textId="77777777" w:rsidR="00631907" w:rsidRDefault="00631907" w:rsidP="00ED288D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14:paraId="1FAA7D81" w14:textId="0298F6EF" w:rsidR="00631907" w:rsidRDefault="00631907" w:rsidP="00212395">
      <w:pPr>
        <w:pStyle w:val="Nadpis1"/>
        <w:spacing w:after="240"/>
        <w:ind w:left="0"/>
      </w:pPr>
      <w:r>
        <w:t xml:space="preserve">Společné části bytového domu č.p. </w:t>
      </w:r>
      <w:r w:rsidR="006E7FDA">
        <w:t>1963</w:t>
      </w:r>
    </w:p>
    <w:p w14:paraId="1FAA7D82" w14:textId="0782F92A" w:rsidR="00631907" w:rsidRPr="001B614E" w:rsidRDefault="00631907" w:rsidP="00631907">
      <w:pPr>
        <w:spacing w:after="120"/>
        <w:jc w:val="both"/>
      </w:pPr>
      <w:r>
        <w:t xml:space="preserve">(1) Společnými částmi bytového domu č.p. </w:t>
      </w:r>
      <w:r w:rsidR="007B2CC7">
        <w:t>1963</w:t>
      </w:r>
      <w:r w:rsidR="00BC15E4">
        <w:t xml:space="preserve"> </w:t>
      </w:r>
      <w:r>
        <w:t xml:space="preserve">(tj. částmi budovy určenými pro společné užívání </w:t>
      </w:r>
      <w:r w:rsidRPr="001B614E">
        <w:t xml:space="preserve">ve smyslu ust. </w:t>
      </w:r>
      <w:r w:rsidR="00BC15E4" w:rsidRPr="001B614E">
        <w:t>§ 2 p</w:t>
      </w:r>
      <w:r w:rsidR="00D34C36" w:rsidRPr="001B614E">
        <w:t>ísm. g</w:t>
      </w:r>
      <w:r w:rsidRPr="001B614E">
        <w:t>) zákona č. 72/1994 Sb., o vlastnictví bytů, ve znění pozdějších předpisů)</w:t>
      </w:r>
      <w:r w:rsidR="00E21E5A" w:rsidRPr="001B614E">
        <w:t>,</w:t>
      </w:r>
      <w:r w:rsidRPr="001B614E">
        <w:t xml:space="preserve"> jsou:</w:t>
      </w:r>
    </w:p>
    <w:p w14:paraId="1FAA7D83" w14:textId="77777777" w:rsidR="00631907" w:rsidRDefault="00631907" w:rsidP="00631907">
      <w:pPr>
        <w:numPr>
          <w:ilvl w:val="0"/>
          <w:numId w:val="2"/>
        </w:numPr>
        <w:jc w:val="both"/>
      </w:pPr>
      <w:r>
        <w:t>základy včetně izolací</w:t>
      </w:r>
      <w:r w:rsidR="00A724A6">
        <w:t>,</w:t>
      </w:r>
    </w:p>
    <w:p w14:paraId="1FAA7D84" w14:textId="1606B766" w:rsidR="00631907" w:rsidRDefault="00631907" w:rsidP="00631907">
      <w:pPr>
        <w:numPr>
          <w:ilvl w:val="0"/>
          <w:numId w:val="2"/>
        </w:numPr>
        <w:jc w:val="both"/>
      </w:pPr>
      <w:r>
        <w:t>svislé a vodorovné nosné a nenosné konstrukce</w:t>
      </w:r>
      <w:r w:rsidR="0021797F">
        <w:t xml:space="preserve"> </w:t>
      </w:r>
      <w:r w:rsidR="00766EB0">
        <w:t xml:space="preserve">včetně oken a dveří </w:t>
      </w:r>
      <w:r w:rsidR="00A134B9">
        <w:t>lodžií</w:t>
      </w:r>
      <w:r w:rsidR="0052184C">
        <w:t>,</w:t>
      </w:r>
    </w:p>
    <w:p w14:paraId="0B1B8C26" w14:textId="30E36BC2" w:rsidR="00766EB0" w:rsidRDefault="00766EB0" w:rsidP="00766EB0">
      <w:pPr>
        <w:numPr>
          <w:ilvl w:val="0"/>
          <w:numId w:val="2"/>
        </w:numPr>
        <w:jc w:val="both"/>
      </w:pPr>
      <w:r>
        <w:lastRenderedPageBreak/>
        <w:t>schodiště a chodby včetně dveří zajišťující přímý přístup do společných částí a oken zajišťujících osvětlení a větrání společných částí,</w:t>
      </w:r>
    </w:p>
    <w:p w14:paraId="1F00E187" w14:textId="69E93E47" w:rsidR="004448F4" w:rsidRDefault="00A31B3B" w:rsidP="00631907">
      <w:pPr>
        <w:numPr>
          <w:ilvl w:val="0"/>
          <w:numId w:val="2"/>
        </w:numPr>
        <w:jc w:val="both"/>
      </w:pPr>
      <w:r>
        <w:t>střešní plášť</w:t>
      </w:r>
      <w:r w:rsidR="006607A8">
        <w:t xml:space="preserve"> včetně krovu a příslušných klempířských prvků (okapy, žlaby, oplechování a půda</w:t>
      </w:r>
      <w:r w:rsidR="008A4FD9">
        <w:t>,</w:t>
      </w:r>
    </w:p>
    <w:p w14:paraId="168C3D66" w14:textId="2A78733A" w:rsidR="00766EB0" w:rsidRDefault="008A4FD9" w:rsidP="00631907">
      <w:pPr>
        <w:numPr>
          <w:ilvl w:val="0"/>
          <w:numId w:val="2"/>
        </w:numPr>
        <w:jc w:val="both"/>
      </w:pPr>
      <w:r>
        <w:t>vstupní prostory (vchody)</w:t>
      </w:r>
      <w:r w:rsidR="00766EB0">
        <w:t>,</w:t>
      </w:r>
    </w:p>
    <w:p w14:paraId="1FAA7D85" w14:textId="02875200" w:rsidR="00666D66" w:rsidRDefault="00B22ABC" w:rsidP="00666D66">
      <w:pPr>
        <w:numPr>
          <w:ilvl w:val="0"/>
          <w:numId w:val="2"/>
        </w:numPr>
        <w:jc w:val="both"/>
      </w:pPr>
      <w:r>
        <w:t>sklepní místnosti (prádelny, místnost pod schody) a sklepní kóje</w:t>
      </w:r>
      <w:r w:rsidR="009D7494">
        <w:t>,</w:t>
      </w:r>
    </w:p>
    <w:p w14:paraId="2ACAF8F2" w14:textId="17E4DC70" w:rsidR="00CF087B" w:rsidRDefault="00CF087B" w:rsidP="00CF087B">
      <w:pPr>
        <w:numPr>
          <w:ilvl w:val="0"/>
          <w:numId w:val="2"/>
        </w:numPr>
        <w:jc w:val="both"/>
      </w:pPr>
      <w:r>
        <w:t>potrubní rozvody tepla za patním měřením budovy včetně odboček ze stoupacího potrubí a odbočných uzavíracích armatur příslušných k jednotkám, rozvody pitné vody včetně odboček ze stoupacího potrubí a odbočných uzavíracích armatur příslušných k jednotkám včetně domovní části vodovodní přípojky, kanalizace včetně kanalizační přípojky a příslušných součástí v rozsahu vymezeném platnými právními předpisy, rozvod plynu od hlavního uzávěru plynu pro budovu včetně armatur k hlavním uzávěrům pro byt, domovní elektroinstalace, slaboproudé rozvody (zvonky, kabelová televize),</w:t>
      </w:r>
      <w:r w:rsidR="00232039">
        <w:t xml:space="preserve"> listovní schránky,</w:t>
      </w:r>
    </w:p>
    <w:p w14:paraId="35B40323" w14:textId="311A82C2" w:rsidR="009C35A1" w:rsidRDefault="00232039" w:rsidP="00666D66">
      <w:pPr>
        <w:numPr>
          <w:ilvl w:val="0"/>
          <w:numId w:val="2"/>
        </w:numPr>
        <w:jc w:val="both"/>
      </w:pPr>
      <w:r>
        <w:t xml:space="preserve">komínová tělesa včetně příslušných součástí, větrací šachty, světlík, </w:t>
      </w:r>
      <w:r w:rsidR="00666D66">
        <w:t xml:space="preserve"> </w:t>
      </w:r>
    </w:p>
    <w:p w14:paraId="1FAA7D86" w14:textId="606D61AB" w:rsidR="00666D66" w:rsidRDefault="00EF21FA" w:rsidP="00666D66">
      <w:pPr>
        <w:numPr>
          <w:ilvl w:val="0"/>
          <w:numId w:val="2"/>
        </w:numPr>
        <w:jc w:val="both"/>
      </w:pPr>
      <w:r>
        <w:t xml:space="preserve">bleskosvod, </w:t>
      </w:r>
    </w:p>
    <w:p w14:paraId="1FAA7D8B" w14:textId="4536F540" w:rsidR="00A10A6C" w:rsidRDefault="00EF21FA" w:rsidP="00766EB0">
      <w:pPr>
        <w:numPr>
          <w:ilvl w:val="0"/>
          <w:numId w:val="2"/>
        </w:numPr>
        <w:jc w:val="both"/>
      </w:pPr>
      <w:r>
        <w:t xml:space="preserve">zpevněné plochy ve dvorní části včetně odvodnění, </w:t>
      </w:r>
    </w:p>
    <w:p w14:paraId="7CB71184" w14:textId="46C2FBB0" w:rsidR="00EF21FA" w:rsidRDefault="008B2D44" w:rsidP="00766EB0">
      <w:pPr>
        <w:numPr>
          <w:ilvl w:val="0"/>
          <w:numId w:val="2"/>
        </w:numPr>
        <w:jc w:val="both"/>
      </w:pPr>
      <w:r>
        <w:t xml:space="preserve">přístřešek ve dvorní části, </w:t>
      </w:r>
    </w:p>
    <w:p w14:paraId="1299C838" w14:textId="52D24D54" w:rsidR="008B2D44" w:rsidRDefault="008B2D44" w:rsidP="00766EB0">
      <w:pPr>
        <w:numPr>
          <w:ilvl w:val="0"/>
          <w:numId w:val="2"/>
        </w:numPr>
        <w:jc w:val="both"/>
      </w:pPr>
      <w:r>
        <w:t>udírna ve dvorní části.</w:t>
      </w:r>
    </w:p>
    <w:p w14:paraId="4E6A3601" w14:textId="77777777" w:rsidR="008F175B" w:rsidRDefault="008F175B" w:rsidP="002539A1">
      <w:pPr>
        <w:spacing w:after="120"/>
        <w:jc w:val="both"/>
        <w:rPr>
          <w:color w:val="FF0000"/>
        </w:rPr>
      </w:pPr>
    </w:p>
    <w:p w14:paraId="1FAA7D8C" w14:textId="03826A7F" w:rsidR="00631907" w:rsidRPr="00D41669" w:rsidRDefault="001B6CDD" w:rsidP="002539A1">
      <w:pPr>
        <w:spacing w:after="120"/>
        <w:jc w:val="both"/>
      </w:pPr>
      <w:r w:rsidRPr="00D41669">
        <w:t>(2</w:t>
      </w:r>
      <w:r w:rsidR="00631907" w:rsidRPr="00D41669">
        <w:t xml:space="preserve">) </w:t>
      </w:r>
      <w:r w:rsidR="00D41669" w:rsidRPr="00D41669">
        <w:t>M</w:t>
      </w:r>
      <w:r w:rsidR="00B65860" w:rsidRPr="00D41669">
        <w:t>ístnost</w:t>
      </w:r>
      <w:r w:rsidR="00D41669" w:rsidRPr="00D41669">
        <w:t>i</w:t>
      </w:r>
      <w:r w:rsidR="00B65860" w:rsidRPr="00D41669">
        <w:t xml:space="preserve"> </w:t>
      </w:r>
      <w:r w:rsidR="00631907" w:rsidRPr="00D41669">
        <w:t>společn</w:t>
      </w:r>
      <w:r w:rsidR="00D41669" w:rsidRPr="00D41669">
        <w:t>é</w:t>
      </w:r>
      <w:r w:rsidR="00631907" w:rsidRPr="00D41669">
        <w:t xml:space="preserve"> část</w:t>
      </w:r>
      <w:r w:rsidR="00D41669" w:rsidRPr="00D41669">
        <w:t>i</w:t>
      </w:r>
      <w:r w:rsidR="00631907" w:rsidRPr="00D41669">
        <w:t xml:space="preserve"> </w:t>
      </w:r>
      <w:r w:rsidR="00F36816" w:rsidRPr="00D41669">
        <w:t xml:space="preserve">bytového domu č.p. </w:t>
      </w:r>
      <w:r w:rsidR="009A4E95" w:rsidRPr="00D41669">
        <w:t>1963</w:t>
      </w:r>
      <w:r w:rsidR="00F17190" w:rsidRPr="00D41669">
        <w:t xml:space="preserve">, </w:t>
      </w:r>
      <w:r w:rsidR="00631907" w:rsidRPr="00D41669">
        <w:t>které jsou uvedeny v příloze (tj. schématech půdorysů jednotlivých podlaží budovy určujících polohu jednotek a</w:t>
      </w:r>
      <w:r w:rsidR="00E33471" w:rsidRPr="00D41669">
        <w:t> </w:t>
      </w:r>
      <w:r w:rsidR="00631907" w:rsidRPr="00D41669">
        <w:t xml:space="preserve">společných částí </w:t>
      </w:r>
      <w:r w:rsidR="00D41669" w:rsidRPr="00D41669">
        <w:t xml:space="preserve">v </w:t>
      </w:r>
      <w:r w:rsidR="00631907" w:rsidRPr="00D41669">
        <w:t>budov</w:t>
      </w:r>
      <w:r w:rsidR="00D41669" w:rsidRPr="00D41669">
        <w:t>ě</w:t>
      </w:r>
      <w:r w:rsidR="00631907" w:rsidRPr="00D41669">
        <w:t>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109"/>
        <w:gridCol w:w="2439"/>
      </w:tblGrid>
      <w:tr w:rsidR="00DA1FC4" w:rsidRPr="00CE0C65" w14:paraId="1FAA7D91" w14:textId="77777777" w:rsidTr="001E2799">
        <w:tc>
          <w:tcPr>
            <w:tcW w:w="2125" w:type="dxa"/>
            <w:shd w:val="clear" w:color="auto" w:fill="auto"/>
          </w:tcPr>
          <w:p w14:paraId="1FAA7D8D" w14:textId="77777777" w:rsidR="00DA1FC4" w:rsidRPr="008059A6" w:rsidRDefault="00DA1FC4" w:rsidP="00487089">
            <w:pPr>
              <w:rPr>
                <w:b/>
              </w:rPr>
            </w:pPr>
            <w:r w:rsidRPr="008059A6">
              <w:rPr>
                <w:b/>
              </w:rPr>
              <w:t>Podlaží</w:t>
            </w:r>
          </w:p>
        </w:tc>
        <w:tc>
          <w:tcPr>
            <w:tcW w:w="2109" w:type="dxa"/>
            <w:shd w:val="clear" w:color="auto" w:fill="auto"/>
          </w:tcPr>
          <w:p w14:paraId="1FAA7D8E" w14:textId="77777777" w:rsidR="00DA1FC4" w:rsidRPr="008059A6" w:rsidRDefault="00DA1FC4" w:rsidP="002539A1">
            <w:pPr>
              <w:rPr>
                <w:b/>
              </w:rPr>
            </w:pPr>
            <w:r w:rsidRPr="008059A6">
              <w:rPr>
                <w:b/>
              </w:rPr>
              <w:t>Graf. zn</w:t>
            </w:r>
            <w:r>
              <w:rPr>
                <w:b/>
              </w:rPr>
              <w:t>ačka</w:t>
            </w:r>
          </w:p>
        </w:tc>
        <w:tc>
          <w:tcPr>
            <w:tcW w:w="2439" w:type="dxa"/>
            <w:shd w:val="clear" w:color="auto" w:fill="auto"/>
          </w:tcPr>
          <w:p w14:paraId="1FAA7D8F" w14:textId="77777777" w:rsidR="00DA1FC4" w:rsidRPr="008059A6" w:rsidRDefault="00DA1FC4" w:rsidP="00487089">
            <w:pPr>
              <w:rPr>
                <w:b/>
              </w:rPr>
            </w:pPr>
            <w:r w:rsidRPr="008059A6">
              <w:rPr>
                <w:b/>
              </w:rPr>
              <w:t>Název</w:t>
            </w:r>
          </w:p>
        </w:tc>
      </w:tr>
      <w:tr w:rsidR="00DA1FC4" w:rsidRPr="00CE0C65" w14:paraId="1FAA7D96" w14:textId="77777777" w:rsidTr="001E2799">
        <w:tc>
          <w:tcPr>
            <w:tcW w:w="2125" w:type="dxa"/>
            <w:shd w:val="clear" w:color="auto" w:fill="auto"/>
          </w:tcPr>
          <w:p w14:paraId="1FAA7D92" w14:textId="738AA866" w:rsidR="00DA1FC4" w:rsidRDefault="00DA1FC4" w:rsidP="00CE0C65">
            <w:r>
              <w:t xml:space="preserve">1.PP </w:t>
            </w:r>
            <w:r w:rsidR="00FB2632">
              <w:t xml:space="preserve">a </w:t>
            </w:r>
            <w:r w:rsidR="00C77431">
              <w:t>1.MePP</w:t>
            </w:r>
          </w:p>
        </w:tc>
        <w:tc>
          <w:tcPr>
            <w:tcW w:w="2109" w:type="dxa"/>
            <w:shd w:val="clear" w:color="auto" w:fill="auto"/>
          </w:tcPr>
          <w:p w14:paraId="1FAA7D93" w14:textId="7362303D" w:rsidR="00DA1FC4" w:rsidRDefault="00DA1FC4" w:rsidP="00CE0C65">
            <w:r>
              <w:t>A01</w:t>
            </w:r>
          </w:p>
        </w:tc>
        <w:tc>
          <w:tcPr>
            <w:tcW w:w="2439" w:type="dxa"/>
            <w:shd w:val="clear" w:color="auto" w:fill="auto"/>
          </w:tcPr>
          <w:p w14:paraId="1FAA7D94" w14:textId="00C07C03" w:rsidR="00DA1FC4" w:rsidRDefault="007C415B" w:rsidP="00CE0C65">
            <w:r>
              <w:t xml:space="preserve">chodba a </w:t>
            </w:r>
            <w:r w:rsidR="00DA1FC4">
              <w:t>schodiště</w:t>
            </w:r>
          </w:p>
        </w:tc>
      </w:tr>
      <w:tr w:rsidR="00DA1FC4" w:rsidRPr="00CE0C65" w14:paraId="1FAA7D9B" w14:textId="77777777" w:rsidTr="001E2799">
        <w:tc>
          <w:tcPr>
            <w:tcW w:w="2125" w:type="dxa"/>
            <w:shd w:val="clear" w:color="auto" w:fill="auto"/>
          </w:tcPr>
          <w:p w14:paraId="1FAA7D97" w14:textId="77777777" w:rsidR="00DA1FC4" w:rsidRDefault="00DA1FC4" w:rsidP="00CE0C65"/>
        </w:tc>
        <w:tc>
          <w:tcPr>
            <w:tcW w:w="2109" w:type="dxa"/>
            <w:shd w:val="clear" w:color="auto" w:fill="auto"/>
          </w:tcPr>
          <w:p w14:paraId="1FAA7D98" w14:textId="18E19A5C" w:rsidR="00DA1FC4" w:rsidRDefault="00DA1FC4" w:rsidP="00CE0C65">
            <w:r>
              <w:t>A02</w:t>
            </w:r>
          </w:p>
        </w:tc>
        <w:tc>
          <w:tcPr>
            <w:tcW w:w="2439" w:type="dxa"/>
            <w:shd w:val="clear" w:color="auto" w:fill="auto"/>
          </w:tcPr>
          <w:p w14:paraId="1FAA7D99" w14:textId="103C7098" w:rsidR="00DA1FC4" w:rsidRDefault="001300A3" w:rsidP="00CE0C65">
            <w:r>
              <w:t>c</w:t>
            </w:r>
            <w:r w:rsidR="007C415B">
              <w:t>hodba a místnosti sklepních k</w:t>
            </w:r>
            <w:r w:rsidR="003D64E2">
              <w:t>ó</w:t>
            </w:r>
            <w:r>
              <w:t>jí</w:t>
            </w:r>
          </w:p>
        </w:tc>
      </w:tr>
      <w:tr w:rsidR="00DA1FC4" w:rsidRPr="00CE0C65" w14:paraId="1FAA7DA0" w14:textId="77777777" w:rsidTr="001E2799">
        <w:tc>
          <w:tcPr>
            <w:tcW w:w="2125" w:type="dxa"/>
            <w:shd w:val="clear" w:color="auto" w:fill="auto"/>
          </w:tcPr>
          <w:p w14:paraId="1FAA7D9C" w14:textId="77777777" w:rsidR="00DA1FC4" w:rsidRDefault="00DA1FC4" w:rsidP="00CE0C65">
            <w:r w:rsidRPr="00E8099F">
              <w:t xml:space="preserve"> </w:t>
            </w:r>
          </w:p>
        </w:tc>
        <w:tc>
          <w:tcPr>
            <w:tcW w:w="2109" w:type="dxa"/>
            <w:shd w:val="clear" w:color="auto" w:fill="auto"/>
          </w:tcPr>
          <w:p w14:paraId="1FAA7D9D" w14:textId="79B842F8" w:rsidR="00DA1FC4" w:rsidRDefault="00DA1FC4" w:rsidP="00CE0C65">
            <w:r>
              <w:t>A03</w:t>
            </w:r>
          </w:p>
        </w:tc>
        <w:tc>
          <w:tcPr>
            <w:tcW w:w="2439" w:type="dxa"/>
            <w:shd w:val="clear" w:color="auto" w:fill="auto"/>
          </w:tcPr>
          <w:p w14:paraId="1FAA7D9E" w14:textId="7BA8714E" w:rsidR="00DA1FC4" w:rsidRDefault="003D64E2" w:rsidP="00CE0C65">
            <w:r>
              <w:t xml:space="preserve">prádelna </w:t>
            </w:r>
          </w:p>
        </w:tc>
      </w:tr>
      <w:tr w:rsidR="00DA1FC4" w:rsidRPr="00CE0C65" w14:paraId="1FAA7DA5" w14:textId="77777777" w:rsidTr="001E2799">
        <w:tc>
          <w:tcPr>
            <w:tcW w:w="2125" w:type="dxa"/>
            <w:shd w:val="clear" w:color="auto" w:fill="auto"/>
          </w:tcPr>
          <w:p w14:paraId="1FAA7DA1" w14:textId="77777777" w:rsidR="00DA1FC4" w:rsidRDefault="00DA1FC4" w:rsidP="00CE0C65"/>
        </w:tc>
        <w:tc>
          <w:tcPr>
            <w:tcW w:w="2109" w:type="dxa"/>
            <w:shd w:val="clear" w:color="auto" w:fill="auto"/>
          </w:tcPr>
          <w:p w14:paraId="1FAA7DA2" w14:textId="063E591C" w:rsidR="00DA1FC4" w:rsidRDefault="00DA1FC4" w:rsidP="00CE0C65">
            <w:r>
              <w:t>A04</w:t>
            </w:r>
          </w:p>
        </w:tc>
        <w:tc>
          <w:tcPr>
            <w:tcW w:w="2439" w:type="dxa"/>
            <w:shd w:val="clear" w:color="auto" w:fill="auto"/>
          </w:tcPr>
          <w:p w14:paraId="1FAA7DA3" w14:textId="672C2D15" w:rsidR="00DA1FC4" w:rsidRDefault="0046492D" w:rsidP="00CE0C65">
            <w:r>
              <w:t>větrací šachta</w:t>
            </w:r>
          </w:p>
        </w:tc>
      </w:tr>
      <w:tr w:rsidR="00DA1FC4" w:rsidRPr="00CE0C65" w14:paraId="1FAA7DAA" w14:textId="77777777" w:rsidTr="001E2799">
        <w:tc>
          <w:tcPr>
            <w:tcW w:w="2125" w:type="dxa"/>
            <w:shd w:val="clear" w:color="auto" w:fill="auto"/>
          </w:tcPr>
          <w:p w14:paraId="1FAA7DA6" w14:textId="77777777" w:rsidR="00DA1FC4" w:rsidRDefault="00DA1FC4" w:rsidP="00CE0C65"/>
        </w:tc>
        <w:tc>
          <w:tcPr>
            <w:tcW w:w="2109" w:type="dxa"/>
            <w:shd w:val="clear" w:color="auto" w:fill="auto"/>
          </w:tcPr>
          <w:p w14:paraId="1FAA7DA7" w14:textId="19EEA409" w:rsidR="00DA1FC4" w:rsidRDefault="00DA1FC4" w:rsidP="00CE0C65">
            <w:r>
              <w:t>A05</w:t>
            </w:r>
          </w:p>
        </w:tc>
        <w:tc>
          <w:tcPr>
            <w:tcW w:w="2439" w:type="dxa"/>
            <w:shd w:val="clear" w:color="auto" w:fill="auto"/>
          </w:tcPr>
          <w:p w14:paraId="1FAA7DA8" w14:textId="4BEC0603" w:rsidR="00DA1FC4" w:rsidRDefault="00C26344" w:rsidP="00CE0C65">
            <w:r>
              <w:t>c</w:t>
            </w:r>
            <w:r w:rsidR="009338E6">
              <w:t>hodba a m</w:t>
            </w:r>
            <w:r>
              <w:t>ístnosti sklepních kójí</w:t>
            </w:r>
          </w:p>
        </w:tc>
      </w:tr>
      <w:tr w:rsidR="00DA1FC4" w:rsidRPr="00CE0C65" w14:paraId="717EC334" w14:textId="77777777" w:rsidTr="001E2799">
        <w:tc>
          <w:tcPr>
            <w:tcW w:w="2125" w:type="dxa"/>
            <w:shd w:val="clear" w:color="auto" w:fill="auto"/>
          </w:tcPr>
          <w:p w14:paraId="17C4432F" w14:textId="445202A7" w:rsidR="00DA1FC4" w:rsidRDefault="00DA1FC4" w:rsidP="00CE0C65"/>
        </w:tc>
        <w:tc>
          <w:tcPr>
            <w:tcW w:w="2109" w:type="dxa"/>
            <w:shd w:val="clear" w:color="auto" w:fill="auto"/>
          </w:tcPr>
          <w:p w14:paraId="5F5216F9" w14:textId="1D95CE70" w:rsidR="00DA1FC4" w:rsidRDefault="0054510F" w:rsidP="00CE0C65">
            <w:r>
              <w:t>A</w:t>
            </w:r>
            <w:r w:rsidR="00DA1FC4">
              <w:t>0</w:t>
            </w:r>
            <w:r>
              <w:t>6</w:t>
            </w:r>
          </w:p>
        </w:tc>
        <w:tc>
          <w:tcPr>
            <w:tcW w:w="2439" w:type="dxa"/>
            <w:shd w:val="clear" w:color="auto" w:fill="auto"/>
          </w:tcPr>
          <w:p w14:paraId="6B48316F" w14:textId="4A6F2F99" w:rsidR="00DA1FC4" w:rsidRDefault="0054510F" w:rsidP="00CE0C65">
            <w:r>
              <w:t>místnost pod schody</w:t>
            </w:r>
          </w:p>
        </w:tc>
      </w:tr>
      <w:tr w:rsidR="00DA1FC4" w:rsidRPr="00CE0C65" w14:paraId="5F9E08C1" w14:textId="77777777" w:rsidTr="001E2799">
        <w:tc>
          <w:tcPr>
            <w:tcW w:w="2125" w:type="dxa"/>
            <w:shd w:val="clear" w:color="auto" w:fill="auto"/>
          </w:tcPr>
          <w:p w14:paraId="6A43FF90" w14:textId="77777777" w:rsidR="00DA1FC4" w:rsidRDefault="00DA1FC4" w:rsidP="00CE0C65"/>
        </w:tc>
        <w:tc>
          <w:tcPr>
            <w:tcW w:w="2109" w:type="dxa"/>
            <w:shd w:val="clear" w:color="auto" w:fill="auto"/>
          </w:tcPr>
          <w:p w14:paraId="4DB0229C" w14:textId="47B088D4" w:rsidR="00DA1FC4" w:rsidRDefault="00593CC8" w:rsidP="00CE0C65">
            <w:r>
              <w:t>A</w:t>
            </w:r>
            <w:r w:rsidR="00DA1FC4">
              <w:t>0</w:t>
            </w:r>
            <w:r>
              <w:t>7</w:t>
            </w:r>
          </w:p>
        </w:tc>
        <w:tc>
          <w:tcPr>
            <w:tcW w:w="2439" w:type="dxa"/>
            <w:shd w:val="clear" w:color="auto" w:fill="auto"/>
          </w:tcPr>
          <w:p w14:paraId="792C98B4" w14:textId="736BEA0B" w:rsidR="00DA1FC4" w:rsidRDefault="00593CC8" w:rsidP="00CE0C65">
            <w:r>
              <w:t>větrací šachta</w:t>
            </w:r>
          </w:p>
        </w:tc>
      </w:tr>
      <w:tr w:rsidR="00DA1FC4" w:rsidRPr="00CE0C65" w14:paraId="73ADF832" w14:textId="77777777" w:rsidTr="001E2799">
        <w:tc>
          <w:tcPr>
            <w:tcW w:w="2125" w:type="dxa"/>
            <w:shd w:val="clear" w:color="auto" w:fill="auto"/>
          </w:tcPr>
          <w:p w14:paraId="79364639" w14:textId="77777777" w:rsidR="00DA1FC4" w:rsidRDefault="00DA1FC4" w:rsidP="00CE0C65"/>
        </w:tc>
        <w:tc>
          <w:tcPr>
            <w:tcW w:w="2109" w:type="dxa"/>
            <w:shd w:val="clear" w:color="auto" w:fill="auto"/>
          </w:tcPr>
          <w:p w14:paraId="3230F251" w14:textId="47C6AD29" w:rsidR="00DA1FC4" w:rsidRDefault="00900B56" w:rsidP="00CE0C65">
            <w:r>
              <w:t>A</w:t>
            </w:r>
            <w:r w:rsidR="00DA1FC4" w:rsidRPr="002A4C3C">
              <w:t>0</w:t>
            </w:r>
            <w:r>
              <w:t>8</w:t>
            </w:r>
          </w:p>
        </w:tc>
        <w:tc>
          <w:tcPr>
            <w:tcW w:w="2439" w:type="dxa"/>
            <w:shd w:val="clear" w:color="auto" w:fill="auto"/>
          </w:tcPr>
          <w:p w14:paraId="1ACCDFC6" w14:textId="1D9E0E25" w:rsidR="00DA1FC4" w:rsidRDefault="00900B56" w:rsidP="00CE0C65">
            <w:r>
              <w:t>prádelna</w:t>
            </w:r>
          </w:p>
        </w:tc>
      </w:tr>
      <w:tr w:rsidR="00DA1FC4" w:rsidRPr="00CE0C65" w14:paraId="4B73462B" w14:textId="77777777" w:rsidTr="001E2799">
        <w:tc>
          <w:tcPr>
            <w:tcW w:w="2125" w:type="dxa"/>
            <w:shd w:val="clear" w:color="auto" w:fill="auto"/>
          </w:tcPr>
          <w:p w14:paraId="446FD3BB" w14:textId="77777777" w:rsidR="00DA1FC4" w:rsidRDefault="00DA1FC4" w:rsidP="00CE0C65"/>
        </w:tc>
        <w:tc>
          <w:tcPr>
            <w:tcW w:w="2109" w:type="dxa"/>
            <w:shd w:val="clear" w:color="auto" w:fill="auto"/>
          </w:tcPr>
          <w:p w14:paraId="111A8414" w14:textId="78CC37C1" w:rsidR="00DA1FC4" w:rsidRDefault="00900B56" w:rsidP="00CE0C65">
            <w:r>
              <w:t>A09</w:t>
            </w:r>
          </w:p>
        </w:tc>
        <w:tc>
          <w:tcPr>
            <w:tcW w:w="2439" w:type="dxa"/>
            <w:shd w:val="clear" w:color="auto" w:fill="auto"/>
          </w:tcPr>
          <w:p w14:paraId="4149B042" w14:textId="066C7500" w:rsidR="00DA1FC4" w:rsidRDefault="00900B56" w:rsidP="00CE0C65">
            <w:r>
              <w:t>chodba</w:t>
            </w:r>
          </w:p>
        </w:tc>
      </w:tr>
      <w:tr w:rsidR="00DA1FC4" w:rsidRPr="00CE0C65" w14:paraId="3A5EA728" w14:textId="77777777" w:rsidTr="001E2799">
        <w:tc>
          <w:tcPr>
            <w:tcW w:w="2125" w:type="dxa"/>
            <w:shd w:val="clear" w:color="auto" w:fill="auto"/>
          </w:tcPr>
          <w:p w14:paraId="762E05C6" w14:textId="77777777" w:rsidR="00DA1FC4" w:rsidRDefault="00DA1FC4" w:rsidP="00CE0C65"/>
        </w:tc>
        <w:tc>
          <w:tcPr>
            <w:tcW w:w="2109" w:type="dxa"/>
            <w:shd w:val="clear" w:color="auto" w:fill="auto"/>
          </w:tcPr>
          <w:p w14:paraId="5EA07D21" w14:textId="15D384C0" w:rsidR="00DA1FC4" w:rsidRDefault="0069052B" w:rsidP="00CE0C65">
            <w:r>
              <w:t>A10</w:t>
            </w:r>
          </w:p>
        </w:tc>
        <w:tc>
          <w:tcPr>
            <w:tcW w:w="2439" w:type="dxa"/>
            <w:shd w:val="clear" w:color="auto" w:fill="auto"/>
          </w:tcPr>
          <w:p w14:paraId="4DED5319" w14:textId="3C4E7255" w:rsidR="00DA1FC4" w:rsidRDefault="0069052B" w:rsidP="00CE0C65">
            <w:r>
              <w:t>chodba a schodiště</w:t>
            </w:r>
          </w:p>
        </w:tc>
      </w:tr>
      <w:tr w:rsidR="00DA1FC4" w:rsidRPr="00CE0C65" w14:paraId="0DFACF2F" w14:textId="77777777" w:rsidTr="001E2799">
        <w:tc>
          <w:tcPr>
            <w:tcW w:w="2125" w:type="dxa"/>
            <w:shd w:val="clear" w:color="auto" w:fill="auto"/>
          </w:tcPr>
          <w:p w14:paraId="2960DED8" w14:textId="77777777" w:rsidR="00DA1FC4" w:rsidRDefault="00DA1FC4" w:rsidP="00CE0C65"/>
        </w:tc>
        <w:tc>
          <w:tcPr>
            <w:tcW w:w="2109" w:type="dxa"/>
            <w:shd w:val="clear" w:color="auto" w:fill="auto"/>
          </w:tcPr>
          <w:p w14:paraId="0451D9E4" w14:textId="7F9613B9" w:rsidR="00DA1FC4" w:rsidRDefault="0069052B" w:rsidP="00CE0C65">
            <w:r>
              <w:t>A11</w:t>
            </w:r>
          </w:p>
        </w:tc>
        <w:tc>
          <w:tcPr>
            <w:tcW w:w="2439" w:type="dxa"/>
            <w:shd w:val="clear" w:color="auto" w:fill="auto"/>
          </w:tcPr>
          <w:p w14:paraId="5320B600" w14:textId="4F1663BE" w:rsidR="00DA1FC4" w:rsidRDefault="0069052B" w:rsidP="00CE0C65">
            <w:r>
              <w:t>světlík</w:t>
            </w:r>
          </w:p>
        </w:tc>
      </w:tr>
      <w:tr w:rsidR="00DA1FC4" w:rsidRPr="00CE0C65" w14:paraId="4634C68E" w14:textId="77777777" w:rsidTr="001E2799">
        <w:tc>
          <w:tcPr>
            <w:tcW w:w="2125" w:type="dxa"/>
            <w:shd w:val="clear" w:color="auto" w:fill="auto"/>
          </w:tcPr>
          <w:p w14:paraId="14AE1C9E" w14:textId="4B6ABA12" w:rsidR="00DA1FC4" w:rsidRDefault="002743B8" w:rsidP="002743B8">
            <w:r>
              <w:t>1.NP a 1.MeP</w:t>
            </w:r>
          </w:p>
        </w:tc>
        <w:tc>
          <w:tcPr>
            <w:tcW w:w="2109" w:type="dxa"/>
            <w:shd w:val="clear" w:color="auto" w:fill="auto"/>
          </w:tcPr>
          <w:p w14:paraId="768C9C9B" w14:textId="579F9196" w:rsidR="00DA1FC4" w:rsidRDefault="00193B0A" w:rsidP="00CE0C65">
            <w:r>
              <w:t>A12</w:t>
            </w:r>
          </w:p>
        </w:tc>
        <w:tc>
          <w:tcPr>
            <w:tcW w:w="2439" w:type="dxa"/>
            <w:shd w:val="clear" w:color="auto" w:fill="auto"/>
          </w:tcPr>
          <w:p w14:paraId="0B60E3E4" w14:textId="6041EF65" w:rsidR="00DA1FC4" w:rsidRDefault="00BF4E8D" w:rsidP="00CE0C65">
            <w:r>
              <w:t>vstup a schodiště</w:t>
            </w:r>
          </w:p>
        </w:tc>
      </w:tr>
      <w:tr w:rsidR="00DA1FC4" w:rsidRPr="00CE0C65" w14:paraId="76086EFA" w14:textId="77777777" w:rsidTr="001E2799">
        <w:tc>
          <w:tcPr>
            <w:tcW w:w="2125" w:type="dxa"/>
            <w:shd w:val="clear" w:color="auto" w:fill="auto"/>
          </w:tcPr>
          <w:p w14:paraId="6E9AC88E" w14:textId="77777777" w:rsidR="00DA1FC4" w:rsidRDefault="00DA1FC4" w:rsidP="00CE0C65"/>
        </w:tc>
        <w:tc>
          <w:tcPr>
            <w:tcW w:w="2109" w:type="dxa"/>
            <w:shd w:val="clear" w:color="auto" w:fill="auto"/>
          </w:tcPr>
          <w:p w14:paraId="430CF3AF" w14:textId="5FC5D4B5" w:rsidR="00DA1FC4" w:rsidRDefault="00BF4E8D" w:rsidP="00CE0C65">
            <w:r>
              <w:t>A13</w:t>
            </w:r>
          </w:p>
        </w:tc>
        <w:tc>
          <w:tcPr>
            <w:tcW w:w="2439" w:type="dxa"/>
            <w:shd w:val="clear" w:color="auto" w:fill="auto"/>
          </w:tcPr>
          <w:p w14:paraId="62ED6367" w14:textId="6EC4CE5B" w:rsidR="00DA1FC4" w:rsidRDefault="00BF4E8D" w:rsidP="00CE0C65">
            <w:r>
              <w:t>schodiště a chodba</w:t>
            </w:r>
          </w:p>
        </w:tc>
      </w:tr>
      <w:tr w:rsidR="00DA1FC4" w:rsidRPr="00CE0C65" w14:paraId="51998C13" w14:textId="77777777" w:rsidTr="001E2799">
        <w:tc>
          <w:tcPr>
            <w:tcW w:w="2125" w:type="dxa"/>
            <w:shd w:val="clear" w:color="auto" w:fill="auto"/>
          </w:tcPr>
          <w:p w14:paraId="3C0A810A" w14:textId="77777777" w:rsidR="00DA1FC4" w:rsidRDefault="00DA1FC4" w:rsidP="00CE0C65"/>
        </w:tc>
        <w:tc>
          <w:tcPr>
            <w:tcW w:w="2109" w:type="dxa"/>
            <w:shd w:val="clear" w:color="auto" w:fill="auto"/>
          </w:tcPr>
          <w:p w14:paraId="7A0521DD" w14:textId="56988CB6" w:rsidR="00DA1FC4" w:rsidRPr="002A4C3C" w:rsidRDefault="00BF4E8D" w:rsidP="00CE0C65">
            <w:r>
              <w:t>A14</w:t>
            </w:r>
          </w:p>
        </w:tc>
        <w:tc>
          <w:tcPr>
            <w:tcW w:w="2439" w:type="dxa"/>
            <w:shd w:val="clear" w:color="auto" w:fill="auto"/>
          </w:tcPr>
          <w:p w14:paraId="31F11532" w14:textId="05E5D4B7" w:rsidR="00DA1FC4" w:rsidRDefault="00BF4E8D" w:rsidP="00CE0C65">
            <w:r>
              <w:t>větrací šachta</w:t>
            </w:r>
          </w:p>
        </w:tc>
      </w:tr>
      <w:tr w:rsidR="00DA1FC4" w:rsidRPr="00CE0C65" w14:paraId="389D3E5A" w14:textId="77777777" w:rsidTr="001E2799">
        <w:tc>
          <w:tcPr>
            <w:tcW w:w="2125" w:type="dxa"/>
            <w:shd w:val="clear" w:color="auto" w:fill="auto"/>
          </w:tcPr>
          <w:p w14:paraId="746DDE0C" w14:textId="77777777" w:rsidR="00DA1FC4" w:rsidRDefault="00DA1FC4" w:rsidP="00DA1FC4"/>
        </w:tc>
        <w:tc>
          <w:tcPr>
            <w:tcW w:w="2109" w:type="dxa"/>
            <w:shd w:val="clear" w:color="auto" w:fill="auto"/>
          </w:tcPr>
          <w:p w14:paraId="35EC5BB6" w14:textId="21529777" w:rsidR="00DA1FC4" w:rsidRDefault="00BF4E8D" w:rsidP="00DA1FC4">
            <w:r>
              <w:t>A15</w:t>
            </w:r>
          </w:p>
        </w:tc>
        <w:tc>
          <w:tcPr>
            <w:tcW w:w="2439" w:type="dxa"/>
            <w:shd w:val="clear" w:color="auto" w:fill="auto"/>
          </w:tcPr>
          <w:p w14:paraId="47871794" w14:textId="760CDE67" w:rsidR="00DA1FC4" w:rsidRDefault="00BF4E8D" w:rsidP="00DA1FC4">
            <w:r>
              <w:t>světlík</w:t>
            </w:r>
          </w:p>
        </w:tc>
      </w:tr>
      <w:tr w:rsidR="00DA1FC4" w:rsidRPr="00CE0C65" w14:paraId="34A9398A" w14:textId="77777777" w:rsidTr="001E2799">
        <w:tc>
          <w:tcPr>
            <w:tcW w:w="2125" w:type="dxa"/>
            <w:shd w:val="clear" w:color="auto" w:fill="auto"/>
          </w:tcPr>
          <w:p w14:paraId="5DDFE4F9" w14:textId="77777777" w:rsidR="00DA1FC4" w:rsidRDefault="00DA1FC4" w:rsidP="00DA1FC4"/>
        </w:tc>
        <w:tc>
          <w:tcPr>
            <w:tcW w:w="2109" w:type="dxa"/>
            <w:shd w:val="clear" w:color="auto" w:fill="auto"/>
          </w:tcPr>
          <w:p w14:paraId="71601E4A" w14:textId="5A2B9C9E" w:rsidR="00DA1FC4" w:rsidRDefault="00BF4E8D" w:rsidP="00DA1FC4">
            <w:r>
              <w:t>A16</w:t>
            </w:r>
          </w:p>
        </w:tc>
        <w:tc>
          <w:tcPr>
            <w:tcW w:w="2439" w:type="dxa"/>
            <w:shd w:val="clear" w:color="auto" w:fill="auto"/>
          </w:tcPr>
          <w:p w14:paraId="0F76E410" w14:textId="243971E5" w:rsidR="00DA1FC4" w:rsidRDefault="00BF4E8D" w:rsidP="00DA1FC4">
            <w:r>
              <w:t>vstup a schodiště</w:t>
            </w:r>
          </w:p>
        </w:tc>
      </w:tr>
      <w:tr w:rsidR="00DA1FC4" w:rsidRPr="00CE0C65" w14:paraId="710177CC" w14:textId="77777777" w:rsidTr="001E2799">
        <w:tc>
          <w:tcPr>
            <w:tcW w:w="2125" w:type="dxa"/>
            <w:shd w:val="clear" w:color="auto" w:fill="auto"/>
          </w:tcPr>
          <w:p w14:paraId="64271BDF" w14:textId="77777777" w:rsidR="00DA1FC4" w:rsidRDefault="00DA1FC4" w:rsidP="00DA1FC4"/>
        </w:tc>
        <w:tc>
          <w:tcPr>
            <w:tcW w:w="2109" w:type="dxa"/>
            <w:shd w:val="clear" w:color="auto" w:fill="auto"/>
          </w:tcPr>
          <w:p w14:paraId="4B651D11" w14:textId="7B002DB7" w:rsidR="00DA1FC4" w:rsidRDefault="00BF4E8D" w:rsidP="00DA1FC4">
            <w:r>
              <w:t>A17</w:t>
            </w:r>
          </w:p>
        </w:tc>
        <w:tc>
          <w:tcPr>
            <w:tcW w:w="2439" w:type="dxa"/>
            <w:shd w:val="clear" w:color="auto" w:fill="auto"/>
          </w:tcPr>
          <w:p w14:paraId="0118F3F7" w14:textId="7056B756" w:rsidR="00DA1FC4" w:rsidRDefault="00BF4E8D" w:rsidP="00DA1FC4">
            <w:r>
              <w:t>s</w:t>
            </w:r>
            <w:r w:rsidR="00DA1FC4">
              <w:t>chodiště</w:t>
            </w:r>
            <w:r>
              <w:t xml:space="preserve"> a chodba</w:t>
            </w:r>
          </w:p>
        </w:tc>
      </w:tr>
      <w:tr w:rsidR="00DA1FC4" w:rsidRPr="00CE0C65" w14:paraId="1B169523" w14:textId="77777777" w:rsidTr="001E2799">
        <w:tc>
          <w:tcPr>
            <w:tcW w:w="2125" w:type="dxa"/>
            <w:shd w:val="clear" w:color="auto" w:fill="auto"/>
          </w:tcPr>
          <w:p w14:paraId="28E74EF4" w14:textId="77777777" w:rsidR="00DA1FC4" w:rsidRDefault="00DA1FC4" w:rsidP="00DA1FC4"/>
        </w:tc>
        <w:tc>
          <w:tcPr>
            <w:tcW w:w="2109" w:type="dxa"/>
            <w:shd w:val="clear" w:color="auto" w:fill="auto"/>
          </w:tcPr>
          <w:p w14:paraId="4CCCAE6C" w14:textId="4FC4AAC5" w:rsidR="00DA1FC4" w:rsidRDefault="00BF4E8D" w:rsidP="00DA1FC4">
            <w:r>
              <w:t>A18</w:t>
            </w:r>
          </w:p>
        </w:tc>
        <w:tc>
          <w:tcPr>
            <w:tcW w:w="2439" w:type="dxa"/>
            <w:shd w:val="clear" w:color="auto" w:fill="auto"/>
          </w:tcPr>
          <w:p w14:paraId="634C3F85" w14:textId="0BD262C7" w:rsidR="00DA1FC4" w:rsidRDefault="00BF4E8D" w:rsidP="00DA1FC4">
            <w:r>
              <w:t>větrací šachta</w:t>
            </w:r>
          </w:p>
        </w:tc>
      </w:tr>
      <w:tr w:rsidR="00DA1FC4" w:rsidRPr="00CE0C65" w14:paraId="640856A0" w14:textId="77777777" w:rsidTr="001E2799">
        <w:tc>
          <w:tcPr>
            <w:tcW w:w="2125" w:type="dxa"/>
            <w:shd w:val="clear" w:color="auto" w:fill="auto"/>
          </w:tcPr>
          <w:p w14:paraId="6978E3B7" w14:textId="0D27D032" w:rsidR="00DA1FC4" w:rsidRDefault="00BF4E8D" w:rsidP="00DA1FC4">
            <w:r>
              <w:t>2.NP a 2. MeP</w:t>
            </w:r>
          </w:p>
        </w:tc>
        <w:tc>
          <w:tcPr>
            <w:tcW w:w="2109" w:type="dxa"/>
            <w:shd w:val="clear" w:color="auto" w:fill="auto"/>
          </w:tcPr>
          <w:p w14:paraId="5DC4E3E8" w14:textId="7447527E" w:rsidR="00DA1FC4" w:rsidRDefault="00BF4E8D" w:rsidP="00DA1FC4">
            <w:r>
              <w:t>A19</w:t>
            </w:r>
          </w:p>
        </w:tc>
        <w:tc>
          <w:tcPr>
            <w:tcW w:w="2439" w:type="dxa"/>
            <w:shd w:val="clear" w:color="auto" w:fill="auto"/>
          </w:tcPr>
          <w:p w14:paraId="656821DB" w14:textId="623074A1" w:rsidR="00DA1FC4" w:rsidRDefault="00BF4E8D" w:rsidP="00DA1FC4">
            <w:r>
              <w:t>schodiště a chodba</w:t>
            </w:r>
          </w:p>
        </w:tc>
      </w:tr>
      <w:tr w:rsidR="00DA1FC4" w:rsidRPr="00CE0C65" w14:paraId="3BDF49A8" w14:textId="77777777" w:rsidTr="001E2799">
        <w:tc>
          <w:tcPr>
            <w:tcW w:w="2125" w:type="dxa"/>
            <w:shd w:val="clear" w:color="auto" w:fill="auto"/>
          </w:tcPr>
          <w:p w14:paraId="7FE5358C" w14:textId="77777777" w:rsidR="00DA1FC4" w:rsidRDefault="00DA1FC4" w:rsidP="00DA1FC4"/>
        </w:tc>
        <w:tc>
          <w:tcPr>
            <w:tcW w:w="2109" w:type="dxa"/>
            <w:shd w:val="clear" w:color="auto" w:fill="auto"/>
          </w:tcPr>
          <w:p w14:paraId="17442D3B" w14:textId="0267F3E6" w:rsidR="00DA1FC4" w:rsidRDefault="00BF4E8D" w:rsidP="00DA1FC4">
            <w:r>
              <w:t>A20</w:t>
            </w:r>
          </w:p>
        </w:tc>
        <w:tc>
          <w:tcPr>
            <w:tcW w:w="2439" w:type="dxa"/>
            <w:shd w:val="clear" w:color="auto" w:fill="auto"/>
          </w:tcPr>
          <w:p w14:paraId="2D87DD2B" w14:textId="69EC6DF3" w:rsidR="00DA1FC4" w:rsidRDefault="00BF4E8D" w:rsidP="00DA1FC4">
            <w:r>
              <w:t>větrací šachta</w:t>
            </w:r>
          </w:p>
        </w:tc>
      </w:tr>
      <w:tr w:rsidR="00DA1FC4" w:rsidRPr="00CE0C65" w14:paraId="45AA42B9" w14:textId="77777777" w:rsidTr="001E2799">
        <w:tc>
          <w:tcPr>
            <w:tcW w:w="2125" w:type="dxa"/>
            <w:shd w:val="clear" w:color="auto" w:fill="auto"/>
          </w:tcPr>
          <w:p w14:paraId="66496B8C" w14:textId="77777777" w:rsidR="00DA1FC4" w:rsidRDefault="00DA1FC4" w:rsidP="00DA1FC4"/>
        </w:tc>
        <w:tc>
          <w:tcPr>
            <w:tcW w:w="2109" w:type="dxa"/>
            <w:shd w:val="clear" w:color="auto" w:fill="auto"/>
          </w:tcPr>
          <w:p w14:paraId="29AFCA1B" w14:textId="104C1F92" w:rsidR="00DA1FC4" w:rsidRDefault="00C51F1D" w:rsidP="00DA1FC4">
            <w:r>
              <w:t>A21</w:t>
            </w:r>
          </w:p>
        </w:tc>
        <w:tc>
          <w:tcPr>
            <w:tcW w:w="2439" w:type="dxa"/>
            <w:shd w:val="clear" w:color="auto" w:fill="auto"/>
          </w:tcPr>
          <w:p w14:paraId="57E92508" w14:textId="558171AB" w:rsidR="00DA1FC4" w:rsidRDefault="00C51F1D" w:rsidP="00DA1FC4">
            <w:r>
              <w:t>světlík</w:t>
            </w:r>
          </w:p>
        </w:tc>
      </w:tr>
      <w:tr w:rsidR="00DA1FC4" w:rsidRPr="00CE0C65" w14:paraId="5B361332" w14:textId="77777777" w:rsidTr="001E2799">
        <w:tc>
          <w:tcPr>
            <w:tcW w:w="2125" w:type="dxa"/>
            <w:shd w:val="clear" w:color="auto" w:fill="auto"/>
          </w:tcPr>
          <w:p w14:paraId="543912D6" w14:textId="77777777" w:rsidR="00DA1FC4" w:rsidRDefault="00DA1FC4" w:rsidP="00DA1FC4"/>
        </w:tc>
        <w:tc>
          <w:tcPr>
            <w:tcW w:w="2109" w:type="dxa"/>
            <w:shd w:val="clear" w:color="auto" w:fill="auto"/>
          </w:tcPr>
          <w:p w14:paraId="2C9482C5" w14:textId="54384034" w:rsidR="00DA1FC4" w:rsidRDefault="002A125A" w:rsidP="00DA1FC4">
            <w:r>
              <w:t>A22</w:t>
            </w:r>
          </w:p>
        </w:tc>
        <w:tc>
          <w:tcPr>
            <w:tcW w:w="2439" w:type="dxa"/>
            <w:shd w:val="clear" w:color="auto" w:fill="auto"/>
          </w:tcPr>
          <w:p w14:paraId="5869900A" w14:textId="09537FA1" w:rsidR="00DA1FC4" w:rsidRDefault="002A125A" w:rsidP="00DA1FC4">
            <w:r>
              <w:t>schodiště a chodba</w:t>
            </w:r>
          </w:p>
        </w:tc>
      </w:tr>
      <w:tr w:rsidR="00DA1FC4" w:rsidRPr="00CE0C65" w14:paraId="3734DD2D" w14:textId="77777777" w:rsidTr="001E2799">
        <w:tc>
          <w:tcPr>
            <w:tcW w:w="2125" w:type="dxa"/>
            <w:shd w:val="clear" w:color="auto" w:fill="auto"/>
          </w:tcPr>
          <w:p w14:paraId="62648C6C" w14:textId="77777777" w:rsidR="00DA1FC4" w:rsidRDefault="00DA1FC4" w:rsidP="00DA1FC4"/>
        </w:tc>
        <w:tc>
          <w:tcPr>
            <w:tcW w:w="2109" w:type="dxa"/>
            <w:shd w:val="clear" w:color="auto" w:fill="auto"/>
          </w:tcPr>
          <w:p w14:paraId="466BE526" w14:textId="19F490C9" w:rsidR="00DA1FC4" w:rsidRDefault="002A125A" w:rsidP="00DA1FC4">
            <w:r>
              <w:t>A23</w:t>
            </w:r>
          </w:p>
        </w:tc>
        <w:tc>
          <w:tcPr>
            <w:tcW w:w="2439" w:type="dxa"/>
            <w:shd w:val="clear" w:color="auto" w:fill="auto"/>
          </w:tcPr>
          <w:p w14:paraId="3442BB72" w14:textId="4E6490B1" w:rsidR="00DA1FC4" w:rsidRDefault="002A125A" w:rsidP="00DA1FC4">
            <w:r>
              <w:t>větrací šachta</w:t>
            </w:r>
          </w:p>
        </w:tc>
      </w:tr>
      <w:tr w:rsidR="00DA1FC4" w:rsidRPr="00CE0C65" w14:paraId="08C4800B" w14:textId="77777777" w:rsidTr="001E2799">
        <w:tc>
          <w:tcPr>
            <w:tcW w:w="2125" w:type="dxa"/>
            <w:shd w:val="clear" w:color="auto" w:fill="auto"/>
          </w:tcPr>
          <w:p w14:paraId="38EDAA9F" w14:textId="13E0D8D0" w:rsidR="00DA1FC4" w:rsidRDefault="002A125A" w:rsidP="00DA1FC4">
            <w:r>
              <w:t>3.NP a 3MeP</w:t>
            </w:r>
          </w:p>
        </w:tc>
        <w:tc>
          <w:tcPr>
            <w:tcW w:w="2109" w:type="dxa"/>
            <w:shd w:val="clear" w:color="auto" w:fill="auto"/>
          </w:tcPr>
          <w:p w14:paraId="10B7603E" w14:textId="7EE999C6" w:rsidR="00DA1FC4" w:rsidRDefault="00A94C9D" w:rsidP="00DA1FC4">
            <w:r>
              <w:t>A24</w:t>
            </w:r>
          </w:p>
        </w:tc>
        <w:tc>
          <w:tcPr>
            <w:tcW w:w="2439" w:type="dxa"/>
            <w:shd w:val="clear" w:color="auto" w:fill="auto"/>
          </w:tcPr>
          <w:p w14:paraId="65F3F321" w14:textId="16C2B292" w:rsidR="00DA1FC4" w:rsidRDefault="00A94C9D" w:rsidP="00DA1FC4">
            <w:r>
              <w:t>schodiště a chodba</w:t>
            </w:r>
          </w:p>
        </w:tc>
      </w:tr>
      <w:tr w:rsidR="00DA1FC4" w:rsidRPr="00CE0C65" w14:paraId="7B7F9C30" w14:textId="77777777" w:rsidTr="001E2799">
        <w:tc>
          <w:tcPr>
            <w:tcW w:w="2125" w:type="dxa"/>
            <w:shd w:val="clear" w:color="auto" w:fill="auto"/>
          </w:tcPr>
          <w:p w14:paraId="6B0775E3" w14:textId="3BAAF790" w:rsidR="00DA1FC4" w:rsidRDefault="00DA1FC4" w:rsidP="00DA1FC4"/>
        </w:tc>
        <w:tc>
          <w:tcPr>
            <w:tcW w:w="2109" w:type="dxa"/>
            <w:shd w:val="clear" w:color="auto" w:fill="auto"/>
          </w:tcPr>
          <w:p w14:paraId="18426EE4" w14:textId="0F394C5A" w:rsidR="00DA1FC4" w:rsidRPr="00CA3C3C" w:rsidRDefault="00A94C9D" w:rsidP="00DA1FC4">
            <w:r>
              <w:t>A25</w:t>
            </w:r>
          </w:p>
        </w:tc>
        <w:tc>
          <w:tcPr>
            <w:tcW w:w="2439" w:type="dxa"/>
            <w:shd w:val="clear" w:color="auto" w:fill="auto"/>
          </w:tcPr>
          <w:p w14:paraId="47A4EA2F" w14:textId="02B70862" w:rsidR="00DA1FC4" w:rsidRDefault="00A94C9D" w:rsidP="00DA1FC4">
            <w:r>
              <w:t>větrací šachta</w:t>
            </w:r>
          </w:p>
        </w:tc>
      </w:tr>
      <w:tr w:rsidR="00DA1FC4" w:rsidRPr="00CE0C65" w14:paraId="1D0D167B" w14:textId="77777777" w:rsidTr="001E2799">
        <w:tc>
          <w:tcPr>
            <w:tcW w:w="2125" w:type="dxa"/>
            <w:shd w:val="clear" w:color="auto" w:fill="auto"/>
          </w:tcPr>
          <w:p w14:paraId="51A7A3B7" w14:textId="2EABC324" w:rsidR="00DA1FC4" w:rsidRDefault="00DA1FC4" w:rsidP="00DA1FC4"/>
        </w:tc>
        <w:tc>
          <w:tcPr>
            <w:tcW w:w="2109" w:type="dxa"/>
            <w:shd w:val="clear" w:color="auto" w:fill="auto"/>
          </w:tcPr>
          <w:p w14:paraId="2740748E" w14:textId="149966D3" w:rsidR="00DA1FC4" w:rsidRPr="00CA3C3C" w:rsidRDefault="00DA1FC4" w:rsidP="00DA1FC4">
            <w:r>
              <w:t>A</w:t>
            </w:r>
            <w:r w:rsidR="00A94C9D">
              <w:t>26</w:t>
            </w:r>
          </w:p>
        </w:tc>
        <w:tc>
          <w:tcPr>
            <w:tcW w:w="2439" w:type="dxa"/>
            <w:shd w:val="clear" w:color="auto" w:fill="auto"/>
          </w:tcPr>
          <w:p w14:paraId="6EC43397" w14:textId="075155A9" w:rsidR="00DA1FC4" w:rsidRDefault="00A94C9D" w:rsidP="00DA1FC4">
            <w:r>
              <w:t xml:space="preserve">světlík </w:t>
            </w:r>
          </w:p>
        </w:tc>
      </w:tr>
      <w:tr w:rsidR="00DA1FC4" w:rsidRPr="00CE0C65" w14:paraId="2F3F3D9F" w14:textId="77777777" w:rsidTr="001E2799">
        <w:tc>
          <w:tcPr>
            <w:tcW w:w="2125" w:type="dxa"/>
            <w:shd w:val="clear" w:color="auto" w:fill="auto"/>
          </w:tcPr>
          <w:p w14:paraId="226885E5" w14:textId="77777777" w:rsidR="00DA1FC4" w:rsidRDefault="00DA1FC4" w:rsidP="00DA1FC4"/>
        </w:tc>
        <w:tc>
          <w:tcPr>
            <w:tcW w:w="2109" w:type="dxa"/>
            <w:shd w:val="clear" w:color="auto" w:fill="auto"/>
          </w:tcPr>
          <w:p w14:paraId="1EE57849" w14:textId="7A7292AC" w:rsidR="00DA1FC4" w:rsidRPr="00CA3C3C" w:rsidRDefault="00A94C9D" w:rsidP="00DA1FC4">
            <w:r>
              <w:t>A27</w:t>
            </w:r>
          </w:p>
        </w:tc>
        <w:tc>
          <w:tcPr>
            <w:tcW w:w="2439" w:type="dxa"/>
            <w:shd w:val="clear" w:color="auto" w:fill="auto"/>
          </w:tcPr>
          <w:p w14:paraId="6444570B" w14:textId="12A01FAC" w:rsidR="00DA1FC4" w:rsidRDefault="00A94C9D" w:rsidP="00DA1FC4">
            <w:r>
              <w:t>schodiště a chodba</w:t>
            </w:r>
          </w:p>
        </w:tc>
      </w:tr>
      <w:tr w:rsidR="00DA1FC4" w:rsidRPr="00CE0C65" w14:paraId="47CC384D" w14:textId="77777777" w:rsidTr="001E2799">
        <w:tc>
          <w:tcPr>
            <w:tcW w:w="2125" w:type="dxa"/>
            <w:shd w:val="clear" w:color="auto" w:fill="auto"/>
          </w:tcPr>
          <w:p w14:paraId="180BCF3A" w14:textId="77777777" w:rsidR="00DA1FC4" w:rsidRDefault="00DA1FC4" w:rsidP="00DA1FC4"/>
        </w:tc>
        <w:tc>
          <w:tcPr>
            <w:tcW w:w="2109" w:type="dxa"/>
            <w:shd w:val="clear" w:color="auto" w:fill="auto"/>
          </w:tcPr>
          <w:p w14:paraId="1819B1C6" w14:textId="17C27FC4" w:rsidR="00DA1FC4" w:rsidRPr="00CA3C3C" w:rsidRDefault="00F6783C" w:rsidP="00DA1FC4">
            <w:r>
              <w:t>A28</w:t>
            </w:r>
          </w:p>
        </w:tc>
        <w:tc>
          <w:tcPr>
            <w:tcW w:w="2439" w:type="dxa"/>
            <w:shd w:val="clear" w:color="auto" w:fill="auto"/>
          </w:tcPr>
          <w:p w14:paraId="2CC5BA45" w14:textId="5CABAC02" w:rsidR="00DA1FC4" w:rsidRDefault="00F6783C" w:rsidP="00DA1FC4">
            <w:r>
              <w:t>větrací šachta</w:t>
            </w:r>
          </w:p>
        </w:tc>
      </w:tr>
      <w:tr w:rsidR="00DA1FC4" w:rsidRPr="00CE0C65" w14:paraId="597F4509" w14:textId="77777777" w:rsidTr="001E2799">
        <w:tc>
          <w:tcPr>
            <w:tcW w:w="2125" w:type="dxa"/>
            <w:shd w:val="clear" w:color="auto" w:fill="auto"/>
          </w:tcPr>
          <w:p w14:paraId="4FA128DE" w14:textId="424C7688" w:rsidR="00DA1FC4" w:rsidRDefault="00F6783C" w:rsidP="00DA1FC4">
            <w:r>
              <w:t>4.NP 4.MeP</w:t>
            </w:r>
          </w:p>
        </w:tc>
        <w:tc>
          <w:tcPr>
            <w:tcW w:w="2109" w:type="dxa"/>
            <w:shd w:val="clear" w:color="auto" w:fill="auto"/>
          </w:tcPr>
          <w:p w14:paraId="74A9B2C6" w14:textId="4911697D" w:rsidR="00DA1FC4" w:rsidRPr="00CA3C3C" w:rsidRDefault="00F6783C" w:rsidP="00DA1FC4">
            <w:r>
              <w:t>A29</w:t>
            </w:r>
          </w:p>
        </w:tc>
        <w:tc>
          <w:tcPr>
            <w:tcW w:w="2439" w:type="dxa"/>
            <w:shd w:val="clear" w:color="auto" w:fill="auto"/>
          </w:tcPr>
          <w:p w14:paraId="2D3C45E0" w14:textId="52FFE0C8" w:rsidR="00DA1FC4" w:rsidRDefault="00F6783C" w:rsidP="00DA1FC4">
            <w:r>
              <w:t>schodiště a chodba</w:t>
            </w:r>
          </w:p>
        </w:tc>
      </w:tr>
      <w:tr w:rsidR="00DA1FC4" w:rsidRPr="00CE0C65" w14:paraId="12B97FF9" w14:textId="77777777" w:rsidTr="001E2799">
        <w:tc>
          <w:tcPr>
            <w:tcW w:w="2125" w:type="dxa"/>
            <w:shd w:val="clear" w:color="auto" w:fill="auto"/>
          </w:tcPr>
          <w:p w14:paraId="4F31A975" w14:textId="77777777" w:rsidR="00DA1FC4" w:rsidRDefault="00DA1FC4" w:rsidP="00DA1FC4"/>
        </w:tc>
        <w:tc>
          <w:tcPr>
            <w:tcW w:w="2109" w:type="dxa"/>
            <w:shd w:val="clear" w:color="auto" w:fill="auto"/>
          </w:tcPr>
          <w:p w14:paraId="3F3ED8F4" w14:textId="148B7845" w:rsidR="00DA1FC4" w:rsidRPr="00FB1D54" w:rsidRDefault="00F6783C" w:rsidP="00DA1FC4">
            <w:r>
              <w:t>A30</w:t>
            </w:r>
          </w:p>
        </w:tc>
        <w:tc>
          <w:tcPr>
            <w:tcW w:w="2439" w:type="dxa"/>
            <w:shd w:val="clear" w:color="auto" w:fill="auto"/>
          </w:tcPr>
          <w:p w14:paraId="6915CE3F" w14:textId="7C9D079B" w:rsidR="00DA1FC4" w:rsidRDefault="00F6783C" w:rsidP="00DA1FC4">
            <w:r>
              <w:t>větrací šachta</w:t>
            </w:r>
          </w:p>
        </w:tc>
      </w:tr>
      <w:tr w:rsidR="00DA1FC4" w:rsidRPr="00CE0C65" w14:paraId="664752DA" w14:textId="77777777" w:rsidTr="001E2799">
        <w:tc>
          <w:tcPr>
            <w:tcW w:w="2125" w:type="dxa"/>
            <w:shd w:val="clear" w:color="auto" w:fill="auto"/>
          </w:tcPr>
          <w:p w14:paraId="00781D03" w14:textId="2F39B76D" w:rsidR="00DA1FC4" w:rsidRDefault="00DA1FC4" w:rsidP="00DA1FC4"/>
        </w:tc>
        <w:tc>
          <w:tcPr>
            <w:tcW w:w="2109" w:type="dxa"/>
            <w:shd w:val="clear" w:color="auto" w:fill="auto"/>
          </w:tcPr>
          <w:p w14:paraId="1AFDB184" w14:textId="6075C3B4" w:rsidR="00DA1FC4" w:rsidRPr="00FB1D54" w:rsidRDefault="00DA1FC4" w:rsidP="00DA1FC4">
            <w:r>
              <w:t>A</w:t>
            </w:r>
            <w:r w:rsidR="00F6783C">
              <w:t>31</w:t>
            </w:r>
          </w:p>
        </w:tc>
        <w:tc>
          <w:tcPr>
            <w:tcW w:w="2439" w:type="dxa"/>
            <w:shd w:val="clear" w:color="auto" w:fill="auto"/>
          </w:tcPr>
          <w:p w14:paraId="118FDBFD" w14:textId="301407C0" w:rsidR="00DA1FC4" w:rsidRDefault="00DA1FC4" w:rsidP="00DA1FC4">
            <w:r w:rsidRPr="00103F32">
              <w:t>s</w:t>
            </w:r>
            <w:r w:rsidR="00F6783C">
              <w:t>větlík</w:t>
            </w:r>
          </w:p>
        </w:tc>
      </w:tr>
      <w:tr w:rsidR="00F6783C" w:rsidRPr="00CE0C65" w14:paraId="3FD17EC6" w14:textId="77777777" w:rsidTr="001E2799">
        <w:tc>
          <w:tcPr>
            <w:tcW w:w="2125" w:type="dxa"/>
            <w:shd w:val="clear" w:color="auto" w:fill="auto"/>
          </w:tcPr>
          <w:p w14:paraId="0CD1F7EB" w14:textId="77777777" w:rsidR="00F6783C" w:rsidRDefault="00F6783C" w:rsidP="00F6783C"/>
        </w:tc>
        <w:tc>
          <w:tcPr>
            <w:tcW w:w="2109" w:type="dxa"/>
            <w:shd w:val="clear" w:color="auto" w:fill="auto"/>
          </w:tcPr>
          <w:p w14:paraId="6E20AB04" w14:textId="0FA418CB" w:rsidR="00F6783C" w:rsidRPr="00FB1D54" w:rsidRDefault="00F6783C" w:rsidP="00F6783C">
            <w:r>
              <w:t>A32</w:t>
            </w:r>
          </w:p>
        </w:tc>
        <w:tc>
          <w:tcPr>
            <w:tcW w:w="2439" w:type="dxa"/>
            <w:shd w:val="clear" w:color="auto" w:fill="auto"/>
          </w:tcPr>
          <w:p w14:paraId="764D9E94" w14:textId="71E59B58" w:rsidR="00F6783C" w:rsidRDefault="00F6783C" w:rsidP="00F6783C">
            <w:r>
              <w:t>schodiště a chodba</w:t>
            </w:r>
          </w:p>
        </w:tc>
      </w:tr>
      <w:tr w:rsidR="00F6783C" w:rsidRPr="00CE0C65" w14:paraId="25D26C26" w14:textId="77777777" w:rsidTr="001E2799">
        <w:tc>
          <w:tcPr>
            <w:tcW w:w="2125" w:type="dxa"/>
            <w:shd w:val="clear" w:color="auto" w:fill="auto"/>
          </w:tcPr>
          <w:p w14:paraId="3BDD1426" w14:textId="77777777" w:rsidR="00F6783C" w:rsidRDefault="00F6783C" w:rsidP="00F6783C"/>
        </w:tc>
        <w:tc>
          <w:tcPr>
            <w:tcW w:w="2109" w:type="dxa"/>
            <w:shd w:val="clear" w:color="auto" w:fill="auto"/>
          </w:tcPr>
          <w:p w14:paraId="2B5ACD8C" w14:textId="37F9A7D5" w:rsidR="00F6783C" w:rsidRPr="00FB1D54" w:rsidRDefault="00F6783C" w:rsidP="00F6783C">
            <w:r>
              <w:t>A33</w:t>
            </w:r>
          </w:p>
        </w:tc>
        <w:tc>
          <w:tcPr>
            <w:tcW w:w="2439" w:type="dxa"/>
            <w:shd w:val="clear" w:color="auto" w:fill="auto"/>
          </w:tcPr>
          <w:p w14:paraId="558C423C" w14:textId="5A2A3F52" w:rsidR="00F6783C" w:rsidRDefault="00F6783C" w:rsidP="00F6783C">
            <w:r>
              <w:t>větrací šachta</w:t>
            </w:r>
          </w:p>
        </w:tc>
      </w:tr>
      <w:tr w:rsidR="00F6783C" w:rsidRPr="00CE0C65" w14:paraId="0183EE57" w14:textId="77777777" w:rsidTr="001E2799">
        <w:tc>
          <w:tcPr>
            <w:tcW w:w="2125" w:type="dxa"/>
            <w:shd w:val="clear" w:color="auto" w:fill="auto"/>
          </w:tcPr>
          <w:p w14:paraId="47B2F355" w14:textId="6038F61F" w:rsidR="00F6783C" w:rsidRDefault="00F6783C" w:rsidP="00F6783C">
            <w:r>
              <w:t>Podkroví</w:t>
            </w:r>
          </w:p>
        </w:tc>
        <w:tc>
          <w:tcPr>
            <w:tcW w:w="2109" w:type="dxa"/>
            <w:shd w:val="clear" w:color="auto" w:fill="auto"/>
          </w:tcPr>
          <w:p w14:paraId="372DE2E4" w14:textId="4C3D77B3" w:rsidR="00F6783C" w:rsidRPr="00FB1D54" w:rsidRDefault="00F6783C" w:rsidP="00F6783C">
            <w:r>
              <w:t>A34</w:t>
            </w:r>
          </w:p>
        </w:tc>
        <w:tc>
          <w:tcPr>
            <w:tcW w:w="2439" w:type="dxa"/>
            <w:shd w:val="clear" w:color="auto" w:fill="auto"/>
          </w:tcPr>
          <w:p w14:paraId="76660497" w14:textId="166604AD" w:rsidR="00F6783C" w:rsidRDefault="00F6783C" w:rsidP="00F6783C">
            <w:r>
              <w:t>schodiště a chodba</w:t>
            </w:r>
          </w:p>
        </w:tc>
      </w:tr>
      <w:tr w:rsidR="00F6783C" w:rsidRPr="00CE0C65" w14:paraId="0B703FAD" w14:textId="77777777" w:rsidTr="001E2799">
        <w:tc>
          <w:tcPr>
            <w:tcW w:w="2125" w:type="dxa"/>
            <w:shd w:val="clear" w:color="auto" w:fill="auto"/>
          </w:tcPr>
          <w:p w14:paraId="53E70D70" w14:textId="77777777" w:rsidR="00F6783C" w:rsidRDefault="00F6783C" w:rsidP="00F6783C"/>
        </w:tc>
        <w:tc>
          <w:tcPr>
            <w:tcW w:w="2109" w:type="dxa"/>
            <w:shd w:val="clear" w:color="auto" w:fill="auto"/>
          </w:tcPr>
          <w:p w14:paraId="61FB5C6D" w14:textId="1DAFEF9D" w:rsidR="00F6783C" w:rsidRPr="00FB1D54" w:rsidRDefault="00F6783C" w:rsidP="00F6783C">
            <w:r>
              <w:t>A35</w:t>
            </w:r>
          </w:p>
        </w:tc>
        <w:tc>
          <w:tcPr>
            <w:tcW w:w="2439" w:type="dxa"/>
            <w:shd w:val="clear" w:color="auto" w:fill="auto"/>
          </w:tcPr>
          <w:p w14:paraId="03159A2B" w14:textId="4D9304C1" w:rsidR="00F6783C" w:rsidRDefault="00F6783C" w:rsidP="00F6783C">
            <w:r>
              <w:t>větrací šachta</w:t>
            </w:r>
          </w:p>
        </w:tc>
      </w:tr>
      <w:tr w:rsidR="00F6783C" w:rsidRPr="00CE0C65" w14:paraId="77063E25" w14:textId="77777777" w:rsidTr="001E2799">
        <w:tc>
          <w:tcPr>
            <w:tcW w:w="2125" w:type="dxa"/>
            <w:shd w:val="clear" w:color="auto" w:fill="auto"/>
          </w:tcPr>
          <w:p w14:paraId="39B7A881" w14:textId="1C2A4558" w:rsidR="00F6783C" w:rsidRDefault="00F6783C" w:rsidP="00F6783C"/>
        </w:tc>
        <w:tc>
          <w:tcPr>
            <w:tcW w:w="2109" w:type="dxa"/>
            <w:shd w:val="clear" w:color="auto" w:fill="auto"/>
          </w:tcPr>
          <w:p w14:paraId="55C82551" w14:textId="479285AD" w:rsidR="00F6783C" w:rsidRPr="00FB1D54" w:rsidRDefault="00F6783C" w:rsidP="00F6783C">
            <w:r>
              <w:t>A36</w:t>
            </w:r>
          </w:p>
        </w:tc>
        <w:tc>
          <w:tcPr>
            <w:tcW w:w="2439" w:type="dxa"/>
            <w:shd w:val="clear" w:color="auto" w:fill="auto"/>
          </w:tcPr>
          <w:p w14:paraId="7A4C8710" w14:textId="19A66BAD" w:rsidR="00F6783C" w:rsidRDefault="00F6783C" w:rsidP="00F6783C">
            <w:r>
              <w:t>světlík</w:t>
            </w:r>
          </w:p>
        </w:tc>
      </w:tr>
      <w:tr w:rsidR="00F6783C" w:rsidRPr="00CE0C65" w14:paraId="779571ED" w14:textId="77777777" w:rsidTr="001E2799">
        <w:tc>
          <w:tcPr>
            <w:tcW w:w="2125" w:type="dxa"/>
            <w:shd w:val="clear" w:color="auto" w:fill="auto"/>
          </w:tcPr>
          <w:p w14:paraId="6D52A804" w14:textId="05C180AB" w:rsidR="00F6783C" w:rsidRDefault="00F6783C" w:rsidP="00F6783C"/>
        </w:tc>
        <w:tc>
          <w:tcPr>
            <w:tcW w:w="2109" w:type="dxa"/>
            <w:shd w:val="clear" w:color="auto" w:fill="auto"/>
          </w:tcPr>
          <w:p w14:paraId="17048DCD" w14:textId="33DA5D6C" w:rsidR="00F6783C" w:rsidRPr="00FB1D54" w:rsidRDefault="00F6783C" w:rsidP="00F6783C">
            <w:r>
              <w:t>A37</w:t>
            </w:r>
          </w:p>
        </w:tc>
        <w:tc>
          <w:tcPr>
            <w:tcW w:w="2439" w:type="dxa"/>
            <w:shd w:val="clear" w:color="auto" w:fill="auto"/>
          </w:tcPr>
          <w:p w14:paraId="24C0BE20" w14:textId="60AAB00B" w:rsidR="00F6783C" w:rsidRDefault="00F6783C" w:rsidP="00F6783C">
            <w:r>
              <w:t>schodiště a chodba</w:t>
            </w:r>
          </w:p>
        </w:tc>
      </w:tr>
      <w:tr w:rsidR="00F6783C" w:rsidRPr="00CE0C65" w14:paraId="1E408874" w14:textId="77777777" w:rsidTr="001E2799">
        <w:tc>
          <w:tcPr>
            <w:tcW w:w="2125" w:type="dxa"/>
            <w:shd w:val="clear" w:color="auto" w:fill="auto"/>
          </w:tcPr>
          <w:p w14:paraId="26D33A59" w14:textId="77777777" w:rsidR="00F6783C" w:rsidRDefault="00F6783C" w:rsidP="00F6783C"/>
        </w:tc>
        <w:tc>
          <w:tcPr>
            <w:tcW w:w="2109" w:type="dxa"/>
            <w:shd w:val="clear" w:color="auto" w:fill="auto"/>
          </w:tcPr>
          <w:p w14:paraId="10723716" w14:textId="10F38146" w:rsidR="00F6783C" w:rsidRPr="00FB1D54" w:rsidRDefault="00F6783C" w:rsidP="00F6783C">
            <w:r>
              <w:t>A38</w:t>
            </w:r>
          </w:p>
        </w:tc>
        <w:tc>
          <w:tcPr>
            <w:tcW w:w="2439" w:type="dxa"/>
            <w:shd w:val="clear" w:color="auto" w:fill="auto"/>
          </w:tcPr>
          <w:p w14:paraId="08B7F6CD" w14:textId="35F9FDCE" w:rsidR="00F6783C" w:rsidRDefault="00F6783C" w:rsidP="00F6783C">
            <w:r>
              <w:t>větrací šachta</w:t>
            </w:r>
          </w:p>
        </w:tc>
      </w:tr>
      <w:tr w:rsidR="00F6783C" w:rsidRPr="00CE0C65" w14:paraId="3A5F2255" w14:textId="77777777" w:rsidTr="001E2799">
        <w:tc>
          <w:tcPr>
            <w:tcW w:w="2125" w:type="dxa"/>
            <w:shd w:val="clear" w:color="auto" w:fill="auto"/>
          </w:tcPr>
          <w:p w14:paraId="30298467" w14:textId="77777777" w:rsidR="00F6783C" w:rsidRDefault="00F6783C" w:rsidP="00F6783C"/>
        </w:tc>
        <w:tc>
          <w:tcPr>
            <w:tcW w:w="2109" w:type="dxa"/>
            <w:shd w:val="clear" w:color="auto" w:fill="auto"/>
          </w:tcPr>
          <w:p w14:paraId="43C938FC" w14:textId="25B66631" w:rsidR="00F6783C" w:rsidRPr="00FB1D54" w:rsidRDefault="00F6783C" w:rsidP="00F6783C">
            <w:r>
              <w:t>A39</w:t>
            </w:r>
          </w:p>
        </w:tc>
        <w:tc>
          <w:tcPr>
            <w:tcW w:w="2439" w:type="dxa"/>
            <w:shd w:val="clear" w:color="auto" w:fill="auto"/>
          </w:tcPr>
          <w:p w14:paraId="199C0606" w14:textId="3F0A62D0" w:rsidR="00F6783C" w:rsidRDefault="00F6783C" w:rsidP="00F6783C">
            <w:r>
              <w:t>půda</w:t>
            </w:r>
          </w:p>
        </w:tc>
      </w:tr>
      <w:tr w:rsidR="00F6783C" w:rsidRPr="00CE0C65" w14:paraId="14DCA705" w14:textId="77777777" w:rsidTr="001E2799">
        <w:tc>
          <w:tcPr>
            <w:tcW w:w="2125" w:type="dxa"/>
            <w:shd w:val="clear" w:color="auto" w:fill="auto"/>
          </w:tcPr>
          <w:p w14:paraId="2C5EC6F4" w14:textId="77777777" w:rsidR="00F6783C" w:rsidRDefault="00F6783C" w:rsidP="00F6783C"/>
        </w:tc>
        <w:tc>
          <w:tcPr>
            <w:tcW w:w="2109" w:type="dxa"/>
            <w:shd w:val="clear" w:color="auto" w:fill="auto"/>
          </w:tcPr>
          <w:p w14:paraId="4B033856" w14:textId="3794065F" w:rsidR="00F6783C" w:rsidRPr="00FB1D54" w:rsidRDefault="00F6783C" w:rsidP="00F6783C">
            <w:r>
              <w:t>A40</w:t>
            </w:r>
          </w:p>
        </w:tc>
        <w:tc>
          <w:tcPr>
            <w:tcW w:w="2439" w:type="dxa"/>
            <w:shd w:val="clear" w:color="auto" w:fill="auto"/>
          </w:tcPr>
          <w:p w14:paraId="55950FD6" w14:textId="3DDE5DD4" w:rsidR="00F6783C" w:rsidRDefault="00F6783C" w:rsidP="00F6783C">
            <w:r>
              <w:t>půda</w:t>
            </w:r>
          </w:p>
        </w:tc>
      </w:tr>
      <w:tr w:rsidR="00F6783C" w:rsidRPr="00CE0C65" w14:paraId="74BC8EC8" w14:textId="77777777" w:rsidTr="001E2799">
        <w:tc>
          <w:tcPr>
            <w:tcW w:w="2125" w:type="dxa"/>
            <w:shd w:val="clear" w:color="auto" w:fill="auto"/>
          </w:tcPr>
          <w:p w14:paraId="6B7ED4D7" w14:textId="1B5ACEF0" w:rsidR="00F6783C" w:rsidRDefault="00F6783C" w:rsidP="00F6783C"/>
        </w:tc>
        <w:tc>
          <w:tcPr>
            <w:tcW w:w="2109" w:type="dxa"/>
            <w:shd w:val="clear" w:color="auto" w:fill="auto"/>
          </w:tcPr>
          <w:p w14:paraId="7BB83B7B" w14:textId="7D2A3314" w:rsidR="00F6783C" w:rsidRPr="00FB1D54" w:rsidRDefault="00F6783C" w:rsidP="00F6783C">
            <w:r>
              <w:t>A41</w:t>
            </w:r>
          </w:p>
        </w:tc>
        <w:tc>
          <w:tcPr>
            <w:tcW w:w="2439" w:type="dxa"/>
            <w:shd w:val="clear" w:color="auto" w:fill="auto"/>
          </w:tcPr>
          <w:p w14:paraId="65CED5CB" w14:textId="1EF759B2" w:rsidR="00F6783C" w:rsidRDefault="00F6783C" w:rsidP="00F6783C">
            <w:r>
              <w:t xml:space="preserve">půda </w:t>
            </w:r>
          </w:p>
        </w:tc>
      </w:tr>
    </w:tbl>
    <w:p w14:paraId="1FAA7DC9" w14:textId="77777777" w:rsidR="001B6CDD" w:rsidRDefault="001B6CDD" w:rsidP="001B6CDD">
      <w:pPr>
        <w:jc w:val="both"/>
      </w:pPr>
      <w:r>
        <w:t xml:space="preserve"> </w:t>
      </w:r>
    </w:p>
    <w:p w14:paraId="1FAA7DCA" w14:textId="22A61DBE" w:rsidR="001312CE" w:rsidRPr="002D3356" w:rsidRDefault="001312CE" w:rsidP="001312CE">
      <w:pPr>
        <w:jc w:val="both"/>
      </w:pPr>
      <w:r w:rsidRPr="002D3356">
        <w:t xml:space="preserve">Všechny tyto společné části mají právo užívat </w:t>
      </w:r>
      <w:r w:rsidR="00F3601A" w:rsidRPr="002D3356">
        <w:t>a povinnost podílet se na jejich opravách a</w:t>
      </w:r>
      <w:r w:rsidR="008457E8" w:rsidRPr="002D3356">
        <w:t> </w:t>
      </w:r>
      <w:r w:rsidR="00F3601A" w:rsidRPr="002D3356">
        <w:t xml:space="preserve">údržbě </w:t>
      </w:r>
      <w:r w:rsidR="00D41669">
        <w:t>všichni spolu</w:t>
      </w:r>
      <w:r w:rsidRPr="002D3356">
        <w:t xml:space="preserve">vlastníci </w:t>
      </w:r>
      <w:r w:rsidR="00D41669">
        <w:t xml:space="preserve">z titulu svého spoluvlastnického práva mimo společných částí společných jen některým vlastníkům jednotek.    </w:t>
      </w:r>
    </w:p>
    <w:p w14:paraId="1FAA7DCB" w14:textId="77777777" w:rsidR="001312CE" w:rsidRDefault="001312CE" w:rsidP="001B6CDD">
      <w:pPr>
        <w:jc w:val="both"/>
      </w:pPr>
    </w:p>
    <w:p w14:paraId="1FAA7DCC" w14:textId="4B44BB49" w:rsidR="00631907" w:rsidRPr="00975E91" w:rsidRDefault="001B6CDD" w:rsidP="00B23E2E">
      <w:pPr>
        <w:jc w:val="both"/>
      </w:pPr>
      <w:r w:rsidRPr="00975E91">
        <w:t xml:space="preserve">(3) </w:t>
      </w:r>
      <w:r w:rsidR="00FA6A60" w:rsidRPr="00975E91">
        <w:t xml:space="preserve">V bytovém domě č.p. </w:t>
      </w:r>
      <w:r w:rsidR="00D41669">
        <w:t>1963</w:t>
      </w:r>
      <w:r w:rsidR="00F227EA" w:rsidRPr="00975E91">
        <w:t xml:space="preserve">, </w:t>
      </w:r>
      <w:r w:rsidR="00D41669">
        <w:t>jsou kromě sklepních kójí společné části</w:t>
      </w:r>
      <w:r w:rsidR="00FA6A60" w:rsidRPr="00975E91">
        <w:t xml:space="preserve">, ke kterým mají právo </w:t>
      </w:r>
      <w:r w:rsidR="00D41669">
        <w:t xml:space="preserve">užívací </w:t>
      </w:r>
      <w:r w:rsidR="00FA6A60" w:rsidRPr="00975E91">
        <w:t>pouze vlastníci</w:t>
      </w:r>
      <w:r w:rsidR="00D41669">
        <w:t>, a to chodba A1 oddělená mříží je částí společnou pouze vlastníkovi nebytové jednotky č. 1963/101</w:t>
      </w:r>
      <w:r w:rsidR="00FA6A60" w:rsidRPr="00975E91">
        <w:t>.</w:t>
      </w:r>
    </w:p>
    <w:p w14:paraId="1FAA7DCD" w14:textId="77777777" w:rsidR="005E7AC5" w:rsidRDefault="005E7AC5" w:rsidP="005633B2">
      <w:pPr>
        <w:jc w:val="center"/>
        <w:rPr>
          <w:b/>
        </w:rPr>
      </w:pPr>
    </w:p>
    <w:p w14:paraId="1FAA7DCE" w14:textId="77777777" w:rsidR="00E220D9" w:rsidRPr="00E220D9" w:rsidRDefault="00E220D9" w:rsidP="005633B2">
      <w:pPr>
        <w:jc w:val="center"/>
        <w:rPr>
          <w:b/>
        </w:rPr>
      </w:pPr>
      <w:r w:rsidRPr="00E220D9">
        <w:rPr>
          <w:b/>
        </w:rPr>
        <w:t>Článek I</w:t>
      </w:r>
      <w:r w:rsidR="00B23E2E">
        <w:rPr>
          <w:b/>
        </w:rPr>
        <w:t>V</w:t>
      </w:r>
      <w:r w:rsidRPr="00E220D9">
        <w:rPr>
          <w:b/>
        </w:rPr>
        <w:t>.</w:t>
      </w:r>
    </w:p>
    <w:p w14:paraId="1FAA7DCF" w14:textId="77777777" w:rsidR="00E220D9" w:rsidRPr="005633B2" w:rsidRDefault="005633B2" w:rsidP="00212395">
      <w:pPr>
        <w:spacing w:after="240"/>
        <w:jc w:val="center"/>
        <w:rPr>
          <w:b/>
        </w:rPr>
      </w:pPr>
      <w:r w:rsidRPr="005633B2">
        <w:rPr>
          <w:b/>
        </w:rPr>
        <w:t>Předmět převodu</w:t>
      </w:r>
    </w:p>
    <w:p w14:paraId="301B243F" w14:textId="14804D06" w:rsidR="00661AE2" w:rsidRDefault="00E220D9" w:rsidP="00661AE2">
      <w:pPr>
        <w:jc w:val="both"/>
      </w:pPr>
      <w:r>
        <w:t>Prodávající touto smlouvou prodává kupující</w:t>
      </w:r>
      <w:r w:rsidR="00E33471">
        <w:t>m</w:t>
      </w:r>
      <w:r w:rsidR="00726DBB">
        <w:t>u</w:t>
      </w:r>
      <w:r w:rsidR="00E33471">
        <w:t xml:space="preserve"> do </w:t>
      </w:r>
      <w:r w:rsidR="003E483A">
        <w:t>jeho výlučného vlastnictví</w:t>
      </w:r>
      <w:r>
        <w:t xml:space="preserve"> </w:t>
      </w:r>
      <w:r w:rsidR="00975E91">
        <w:t xml:space="preserve">bytovou </w:t>
      </w:r>
      <w:r w:rsidR="00080329" w:rsidRPr="00975E91">
        <w:rPr>
          <w:b/>
        </w:rPr>
        <w:t xml:space="preserve">jednotku </w:t>
      </w:r>
      <w:r w:rsidR="00A03FE5" w:rsidRPr="00975E91">
        <w:rPr>
          <w:b/>
        </w:rPr>
        <w:t>č. </w:t>
      </w:r>
      <w:r w:rsidR="00A220C7">
        <w:rPr>
          <w:b/>
        </w:rPr>
        <w:t>1963/18</w:t>
      </w:r>
      <w:r w:rsidR="00975E91">
        <w:rPr>
          <w:b/>
        </w:rPr>
        <w:t xml:space="preserve"> </w:t>
      </w:r>
      <w:r w:rsidR="00A03FE5" w:rsidRPr="00785153">
        <w:rPr>
          <w:b/>
        </w:rPr>
        <w:t>v</w:t>
      </w:r>
      <w:r w:rsidR="00A03FE5">
        <w:rPr>
          <w:b/>
        </w:rPr>
        <w:t> bytovém domě</w:t>
      </w:r>
      <w:r w:rsidR="00A03FE5" w:rsidRPr="00785153">
        <w:rPr>
          <w:b/>
        </w:rPr>
        <w:t xml:space="preserve"> č.p.</w:t>
      </w:r>
      <w:r w:rsidR="00A03FE5">
        <w:rPr>
          <w:b/>
        </w:rPr>
        <w:t xml:space="preserve"> </w:t>
      </w:r>
      <w:r w:rsidR="00A220C7">
        <w:rPr>
          <w:b/>
        </w:rPr>
        <w:t>1963</w:t>
      </w:r>
      <w:r w:rsidR="00286E87">
        <w:rPr>
          <w:b/>
        </w:rPr>
        <w:t xml:space="preserve"> (</w:t>
      </w:r>
      <w:r w:rsidR="00A220C7">
        <w:rPr>
          <w:b/>
        </w:rPr>
        <w:t>nám. Svobody 4</w:t>
      </w:r>
      <w:r w:rsidR="00286E87">
        <w:rPr>
          <w:b/>
        </w:rPr>
        <w:t>)</w:t>
      </w:r>
      <w:r w:rsidR="00A00DAB" w:rsidRPr="00E32D27">
        <w:rPr>
          <w:b/>
        </w:rPr>
        <w:t>,</w:t>
      </w:r>
      <w:r w:rsidR="00A00DAB" w:rsidRPr="00941913">
        <w:rPr>
          <w:b/>
          <w:color w:val="FF0000"/>
        </w:rPr>
        <w:t xml:space="preserve"> </w:t>
      </w:r>
      <w:r w:rsidR="00A03FE5" w:rsidRPr="00785153">
        <w:rPr>
          <w:b/>
        </w:rPr>
        <w:t>příslušné</w:t>
      </w:r>
      <w:r w:rsidR="00A03FE5">
        <w:rPr>
          <w:b/>
        </w:rPr>
        <w:t>m</w:t>
      </w:r>
      <w:r w:rsidR="00A03FE5" w:rsidRPr="00785153">
        <w:rPr>
          <w:b/>
        </w:rPr>
        <w:t xml:space="preserve"> k části obce Přerov I-Město, </w:t>
      </w:r>
      <w:r w:rsidR="00A220C7" w:rsidRPr="00785153">
        <w:rPr>
          <w:b/>
        </w:rPr>
        <w:t>postavené</w:t>
      </w:r>
      <w:r w:rsidR="00A220C7">
        <w:rPr>
          <w:b/>
        </w:rPr>
        <w:t>m</w:t>
      </w:r>
      <w:r w:rsidR="00A220C7" w:rsidRPr="00785153">
        <w:rPr>
          <w:b/>
        </w:rPr>
        <w:t xml:space="preserve"> na pozem</w:t>
      </w:r>
      <w:r w:rsidR="00287C75">
        <w:rPr>
          <w:b/>
        </w:rPr>
        <w:t>ku</w:t>
      </w:r>
      <w:r w:rsidR="00A220C7" w:rsidRPr="00785153">
        <w:rPr>
          <w:b/>
        </w:rPr>
        <w:t xml:space="preserve"> p.č.</w:t>
      </w:r>
      <w:r w:rsidR="00A220C7">
        <w:rPr>
          <w:b/>
        </w:rPr>
        <w:t xml:space="preserve"> 2139 (zastavěná plocha a nádvoří) </w:t>
      </w:r>
      <w:r w:rsidR="00A220C7">
        <w:rPr>
          <w:b/>
          <w:color w:val="FF0000"/>
        </w:rPr>
        <w:t xml:space="preserve"> </w:t>
      </w:r>
      <w:r w:rsidR="00A220C7" w:rsidRPr="00785153">
        <w:rPr>
          <w:b/>
        </w:rPr>
        <w:t>o</w:t>
      </w:r>
      <w:r w:rsidR="00A220C7">
        <w:rPr>
          <w:b/>
        </w:rPr>
        <w:t> </w:t>
      </w:r>
      <w:r w:rsidR="00A220C7" w:rsidRPr="00785153">
        <w:rPr>
          <w:b/>
        </w:rPr>
        <w:t xml:space="preserve">výměře </w:t>
      </w:r>
      <w:r w:rsidR="00A220C7">
        <w:rPr>
          <w:b/>
        </w:rPr>
        <w:t>787 </w:t>
      </w:r>
      <w:r w:rsidR="00A220C7" w:rsidRPr="00785153">
        <w:rPr>
          <w:b/>
        </w:rPr>
        <w:t>m</w:t>
      </w:r>
      <w:r w:rsidR="00A220C7">
        <w:rPr>
          <w:b/>
          <w:vertAlign w:val="superscript"/>
        </w:rPr>
        <w:t xml:space="preserve">2 </w:t>
      </w:r>
      <w:r w:rsidR="00A220C7">
        <w:rPr>
          <w:b/>
        </w:rPr>
        <w:t>v k.ú. Přerov</w:t>
      </w:r>
      <w:r w:rsidR="005E7AC5">
        <w:rPr>
          <w:b/>
        </w:rPr>
        <w:t xml:space="preserve">, </w:t>
      </w:r>
      <w:r w:rsidR="00A03FE5" w:rsidRPr="00785153">
        <w:rPr>
          <w:b/>
        </w:rPr>
        <w:t xml:space="preserve">podíl </w:t>
      </w:r>
      <w:r w:rsidR="00A03FE5">
        <w:rPr>
          <w:b/>
        </w:rPr>
        <w:t xml:space="preserve">id. </w:t>
      </w:r>
      <w:r w:rsidR="00A220C7">
        <w:rPr>
          <w:b/>
        </w:rPr>
        <w:t xml:space="preserve">7722/185721 </w:t>
      </w:r>
      <w:r w:rsidR="00A220C7" w:rsidRPr="00785153">
        <w:rPr>
          <w:b/>
        </w:rPr>
        <w:t>na</w:t>
      </w:r>
      <w:r w:rsidR="00A220C7">
        <w:rPr>
          <w:b/>
        </w:rPr>
        <w:t> </w:t>
      </w:r>
      <w:r w:rsidR="00A220C7" w:rsidRPr="00785153">
        <w:rPr>
          <w:b/>
        </w:rPr>
        <w:t xml:space="preserve">společných částech </w:t>
      </w:r>
      <w:r w:rsidR="00A220C7">
        <w:rPr>
          <w:b/>
        </w:rPr>
        <w:t>bytového domu</w:t>
      </w:r>
      <w:r w:rsidR="00A220C7" w:rsidRPr="00785153">
        <w:rPr>
          <w:b/>
        </w:rPr>
        <w:t xml:space="preserve"> č.p.</w:t>
      </w:r>
      <w:r w:rsidR="00A220C7">
        <w:rPr>
          <w:b/>
        </w:rPr>
        <w:t> 1963 na pozem</w:t>
      </w:r>
      <w:r w:rsidR="00287C75">
        <w:rPr>
          <w:b/>
        </w:rPr>
        <w:t>ku</w:t>
      </w:r>
      <w:r w:rsidR="00A220C7">
        <w:rPr>
          <w:b/>
        </w:rPr>
        <w:t xml:space="preserve"> p.č. 2139 (zastavěná plocha a nádvoří) </w:t>
      </w:r>
      <w:r w:rsidR="00A220C7">
        <w:rPr>
          <w:b/>
          <w:color w:val="FF0000"/>
        </w:rPr>
        <w:t xml:space="preserve"> </w:t>
      </w:r>
      <w:r w:rsidR="00A220C7">
        <w:rPr>
          <w:b/>
        </w:rPr>
        <w:t>v k.ú. Přerov</w:t>
      </w:r>
      <w:r w:rsidR="00E32D27">
        <w:rPr>
          <w:b/>
        </w:rPr>
        <w:t xml:space="preserve"> </w:t>
      </w:r>
      <w:r w:rsidR="00A03FE5">
        <w:rPr>
          <w:b/>
        </w:rPr>
        <w:t xml:space="preserve">a podíl id. </w:t>
      </w:r>
      <w:r w:rsidR="00A220C7">
        <w:rPr>
          <w:b/>
        </w:rPr>
        <w:t xml:space="preserve">7722/185721 na pozemcích p.č. 2139 (zastavěná plocha a nádvoří) a p.č. 2140 (ostatní plocha), oba v k.ú. Přerov </w:t>
      </w:r>
      <w:r>
        <w:t>z</w:t>
      </w:r>
      <w:r w:rsidR="005366BF">
        <w:t>a</w:t>
      </w:r>
      <w:r w:rsidR="00E33471">
        <w:t> </w:t>
      </w:r>
      <w:r>
        <w:t>kupní cenu uvedenou v čl.</w:t>
      </w:r>
      <w:r w:rsidR="005633B2">
        <w:t xml:space="preserve"> </w:t>
      </w:r>
      <w:r w:rsidR="002C56E5">
        <w:t>V</w:t>
      </w:r>
      <w:r>
        <w:t xml:space="preserve"> odst. 1 smlouvy a</w:t>
      </w:r>
      <w:r w:rsidR="005633B2">
        <w:t xml:space="preserve"> </w:t>
      </w:r>
      <w:r w:rsidR="00661AE2">
        <w:t xml:space="preserve">kupující výše uvedené nemovité věci do svého </w:t>
      </w:r>
      <w:r w:rsidR="003E483A">
        <w:t>výlučného vlastnictví</w:t>
      </w:r>
      <w:r w:rsidR="00661AE2">
        <w:t xml:space="preserve"> za kupní cenu uvedenou v čl. </w:t>
      </w:r>
      <w:r w:rsidR="00E27EC4">
        <w:t>V</w:t>
      </w:r>
      <w:r w:rsidR="00661AE2">
        <w:t xml:space="preserve"> odst. 1 smlouvy kupuj</w:t>
      </w:r>
      <w:r w:rsidR="00726DBB">
        <w:t>e</w:t>
      </w:r>
      <w:r w:rsidR="00661AE2">
        <w:t xml:space="preserve">.   </w:t>
      </w:r>
    </w:p>
    <w:p w14:paraId="71E88A17" w14:textId="77777777" w:rsidR="00855F67" w:rsidRDefault="00855F67" w:rsidP="00661AE2">
      <w:pPr>
        <w:jc w:val="both"/>
      </w:pPr>
    </w:p>
    <w:p w14:paraId="08EEB020" w14:textId="77777777" w:rsidR="00A220C7" w:rsidRDefault="00A220C7" w:rsidP="00661AE2">
      <w:pPr>
        <w:jc w:val="both"/>
      </w:pPr>
    </w:p>
    <w:p w14:paraId="14EE8680" w14:textId="77777777" w:rsidR="00A220C7" w:rsidRDefault="00A220C7" w:rsidP="00661AE2">
      <w:pPr>
        <w:jc w:val="both"/>
      </w:pPr>
    </w:p>
    <w:p w14:paraId="33457CC9" w14:textId="77777777" w:rsidR="00A220C7" w:rsidRDefault="00A220C7" w:rsidP="00661AE2">
      <w:pPr>
        <w:jc w:val="both"/>
      </w:pPr>
    </w:p>
    <w:p w14:paraId="6D103974" w14:textId="77777777" w:rsidR="00A220C7" w:rsidRDefault="00A220C7" w:rsidP="00661AE2">
      <w:pPr>
        <w:jc w:val="both"/>
      </w:pPr>
    </w:p>
    <w:p w14:paraId="0B8D8DFE" w14:textId="77777777" w:rsidR="00A220C7" w:rsidRDefault="00A220C7" w:rsidP="00661AE2">
      <w:pPr>
        <w:jc w:val="both"/>
      </w:pPr>
    </w:p>
    <w:p w14:paraId="1FAA7DD2" w14:textId="77777777" w:rsidR="006F3BCC" w:rsidRDefault="00B23E2E" w:rsidP="00B23E2E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2C56E5">
        <w:rPr>
          <w:b/>
        </w:rPr>
        <w:t>V</w:t>
      </w:r>
      <w:r w:rsidR="006F3BCC">
        <w:rPr>
          <w:b/>
        </w:rPr>
        <w:t>.</w:t>
      </w:r>
    </w:p>
    <w:p w14:paraId="1FAA7DD3" w14:textId="77777777" w:rsidR="006F3BCC" w:rsidRDefault="00A74461" w:rsidP="00212395">
      <w:pPr>
        <w:spacing w:after="240"/>
        <w:jc w:val="center"/>
        <w:rPr>
          <w:b/>
        </w:rPr>
      </w:pPr>
      <w:r>
        <w:rPr>
          <w:b/>
        </w:rPr>
        <w:t>Kupní cena</w:t>
      </w:r>
    </w:p>
    <w:p w14:paraId="1FAA7DD5" w14:textId="5E05C818" w:rsidR="004867D4" w:rsidRPr="00BA6D3D" w:rsidRDefault="006F3BCC" w:rsidP="00641984">
      <w:pPr>
        <w:spacing w:after="240"/>
        <w:jc w:val="both"/>
      </w:pPr>
      <w:r>
        <w:t xml:space="preserve">(1) Smluvní </w:t>
      </w:r>
      <w:r w:rsidR="00A74461">
        <w:t xml:space="preserve">strany se dohodly na kupní ceně </w:t>
      </w:r>
      <w:r>
        <w:t xml:space="preserve">ve výši </w:t>
      </w:r>
      <w:r w:rsidR="007C2CDB">
        <w:rPr>
          <w:b/>
        </w:rPr>
        <w:t>2.222.222</w:t>
      </w:r>
      <w:r w:rsidRPr="004867D4">
        <w:rPr>
          <w:b/>
        </w:rPr>
        <w:t>,-Kč</w:t>
      </w:r>
      <w:r>
        <w:t xml:space="preserve"> </w:t>
      </w:r>
      <w:r w:rsidRPr="004867D4">
        <w:rPr>
          <w:b/>
        </w:rPr>
        <w:t>(slovy</w:t>
      </w:r>
      <w:r w:rsidR="0034324B">
        <w:rPr>
          <w:b/>
        </w:rPr>
        <w:t xml:space="preserve">: </w:t>
      </w:r>
      <w:r w:rsidR="002F4EF4">
        <w:rPr>
          <w:b/>
        </w:rPr>
        <w:t>d</w:t>
      </w:r>
      <w:r w:rsidR="007C2CDB">
        <w:rPr>
          <w:b/>
        </w:rPr>
        <w:t xml:space="preserve">vamilionydvěstědvacetdvatisícdvěstědvacetdva </w:t>
      </w:r>
      <w:r w:rsidRPr="004867D4">
        <w:rPr>
          <w:b/>
        </w:rPr>
        <w:t>korun českých)</w:t>
      </w:r>
      <w:r w:rsidR="002F4EF4">
        <w:rPr>
          <w:b/>
        </w:rPr>
        <w:t xml:space="preserve"> </w:t>
      </w:r>
      <w:r w:rsidR="002F4EF4" w:rsidRPr="00653D36">
        <w:t>jako cen</w:t>
      </w:r>
      <w:r w:rsidR="007C2CDB">
        <w:t>ě</w:t>
      </w:r>
      <w:r w:rsidR="002F4EF4" w:rsidRPr="00653D36">
        <w:t xml:space="preserve"> n</w:t>
      </w:r>
      <w:r w:rsidR="002F4EF4">
        <w:t>ejvyšší nabídnut</w:t>
      </w:r>
      <w:r w:rsidR="007C2CDB">
        <w:t>é</w:t>
      </w:r>
      <w:r w:rsidR="002F4EF4">
        <w:t xml:space="preserve"> kupujícím</w:t>
      </w:r>
      <w:r w:rsidR="002F4EF4" w:rsidRPr="00653D36">
        <w:t xml:space="preserve"> v rámci výběrového řízení na prodej n</w:t>
      </w:r>
      <w:r w:rsidR="002F4EF4">
        <w:t>emovitých věcí</w:t>
      </w:r>
      <w:r w:rsidR="002F4EF4" w:rsidRPr="00653D36">
        <w:t>.</w:t>
      </w:r>
      <w:r w:rsidR="00D222DD">
        <w:t xml:space="preserve"> </w:t>
      </w:r>
      <w:r w:rsidR="00FA6A60">
        <w:t>Smluvní strany dále prohlašují, že dodání (převod) </w:t>
      </w:r>
      <w:r w:rsidR="005B48BB">
        <w:t>bytové jednotky</w:t>
      </w:r>
      <w:r w:rsidR="00FA6A60">
        <w:t xml:space="preserve"> č. </w:t>
      </w:r>
      <w:r w:rsidR="007C2CDB">
        <w:t>1963/18</w:t>
      </w:r>
      <w:r w:rsidR="007A0387">
        <w:t xml:space="preserve"> </w:t>
      </w:r>
      <w:r w:rsidR="00FA6A60">
        <w:t>je osvobozeno od daně z přidané hodnoty ve smyslu ust. § 56 odst. 3 zákona č. 235/2004 Sb., o dani z přidané hodnoty, ve znění pozdějších předpisů</w:t>
      </w:r>
      <w:r w:rsidR="00FA6A60" w:rsidRPr="00BA6D3D">
        <w:t>.</w:t>
      </w:r>
    </w:p>
    <w:p w14:paraId="1FAA7DD7" w14:textId="5A574FF5" w:rsidR="00A74461" w:rsidRDefault="004867D4" w:rsidP="00641984">
      <w:pPr>
        <w:spacing w:after="240"/>
        <w:jc w:val="both"/>
      </w:pPr>
      <w:r>
        <w:t xml:space="preserve">(2) </w:t>
      </w:r>
      <w:r w:rsidR="00A74461">
        <w:t>Kupující se zavazuj</w:t>
      </w:r>
      <w:r w:rsidR="007C2CDB">
        <w:t>e</w:t>
      </w:r>
      <w:r w:rsidR="00A74461">
        <w:t xml:space="preserve"> uhradit prodávajícímu celou kupní cenu na účet prodávajícího vedený u České spořitelny, a.s., </w:t>
      </w:r>
      <w:r w:rsidR="00A74461" w:rsidRPr="00770330">
        <w:rPr>
          <w:b/>
        </w:rPr>
        <w:t xml:space="preserve">č.ú. 19-1884482379/0800, variabilní symbol </w:t>
      </w:r>
      <w:r w:rsidR="008D3E5E" w:rsidRPr="008D3E5E">
        <w:rPr>
          <w:b/>
        </w:rPr>
        <w:t>703000068</w:t>
      </w:r>
      <w:r w:rsidR="00A74461">
        <w:t>, a to</w:t>
      </w:r>
      <w:r w:rsidR="001312CE">
        <w:t> </w:t>
      </w:r>
      <w:r w:rsidR="00A74461">
        <w:t xml:space="preserve">do </w:t>
      </w:r>
      <w:r w:rsidR="00855F67">
        <w:t>30</w:t>
      </w:r>
      <w:r w:rsidR="00A74461">
        <w:t xml:space="preserve"> dnů od podpisu této smlouvy oběma smluvními stranami.</w:t>
      </w:r>
      <w:r w:rsidR="00C75C7C">
        <w:t xml:space="preserve"> Za den zaplacení </w:t>
      </w:r>
      <w:r w:rsidR="00C75C7C" w:rsidRPr="00C75C7C">
        <w:t>se</w:t>
      </w:r>
      <w:r w:rsidR="00C75C7C">
        <w:t> </w:t>
      </w:r>
      <w:r w:rsidR="00C75C7C" w:rsidRPr="00C75C7C">
        <w:t>považuje</w:t>
      </w:r>
      <w:r w:rsidR="00C75C7C">
        <w:t xml:space="preserve"> den, kdy bude kupní cena připsána na účet prodávajícího.</w:t>
      </w:r>
    </w:p>
    <w:p w14:paraId="1FAA7DD8" w14:textId="6F2976F0" w:rsidR="002C276F" w:rsidRDefault="00665363" w:rsidP="002C276F">
      <w:pPr>
        <w:jc w:val="both"/>
      </w:pPr>
      <w:r>
        <w:t>(3) V případě prodlení kupující</w:t>
      </w:r>
      <w:r w:rsidR="000B5FE4">
        <w:t>ho</w:t>
      </w:r>
      <w:r>
        <w:t xml:space="preserve"> se zaplacením kupní ceny j</w:t>
      </w:r>
      <w:r w:rsidR="000B5FE4">
        <w:t>e</w:t>
      </w:r>
      <w:r>
        <w:t xml:space="preserve"> kupující povi</w:t>
      </w:r>
      <w:r w:rsidR="00B571A6">
        <w:t>n</w:t>
      </w:r>
      <w:r w:rsidR="000B5FE4">
        <w:t>en</w:t>
      </w:r>
      <w:r>
        <w:t xml:space="preserve"> uhradit prodávajícímu úrok</w:t>
      </w:r>
      <w:r w:rsidR="00895227">
        <w:t>y</w:t>
      </w:r>
      <w:r>
        <w:t xml:space="preserve"> z prodlení </w:t>
      </w:r>
      <w:r w:rsidR="00895227">
        <w:t>určené předpisy práva občanského, přičemž aktuálně je výše těchto úroků z prodlení určena</w:t>
      </w:r>
      <w:r>
        <w:t xml:space="preserve"> nařízení</w:t>
      </w:r>
      <w:r w:rsidR="00895227">
        <w:t>m</w:t>
      </w:r>
      <w:r>
        <w:t xml:space="preserve"> vlády č. 351/2013 Sb., kterým se určuje výše úroků z prodlení a nákladů spojených s uplatněním pohledávky, určuje odměna likvidátora, likvidačního správce a člena orgánu právnické osoby jmenovaného soudem a upravují některé otázky Obchodního věstníku a veřejných rejstříků právnických a fyzických osob</w:t>
      </w:r>
      <w:r w:rsidR="002C276F">
        <w:t xml:space="preserve"> </w:t>
      </w:r>
      <w:r w:rsidR="002C276F" w:rsidRPr="0071432E">
        <w:t>a evidence svěřenských fondů a evidence údajů o skutečných majitelích, ve</w:t>
      </w:r>
      <w:r w:rsidR="002C276F">
        <w:t> </w:t>
      </w:r>
      <w:r w:rsidR="002C276F" w:rsidRPr="0071432E">
        <w:t>znění nařízení vlády č. 434/2017 Sb.</w:t>
      </w:r>
      <w:r w:rsidR="002C276F">
        <w:t xml:space="preserve"> </w:t>
      </w:r>
      <w:r w:rsidR="002C276F" w:rsidRPr="00B6381D">
        <w:t>a nařízení vlády č. 184/2019 Sb.</w:t>
      </w:r>
    </w:p>
    <w:p w14:paraId="1FAA7DD9" w14:textId="77777777" w:rsidR="00665363" w:rsidRDefault="00665363" w:rsidP="001047FE">
      <w:pPr>
        <w:pStyle w:val="Zkladntext2"/>
        <w:spacing w:after="0" w:line="240" w:lineRule="auto"/>
        <w:jc w:val="both"/>
      </w:pPr>
    </w:p>
    <w:p w14:paraId="1FAA7DDA" w14:textId="06FE3395" w:rsidR="003C5369" w:rsidRDefault="00E279A2" w:rsidP="006F3BCC">
      <w:pPr>
        <w:jc w:val="center"/>
        <w:rPr>
          <w:b/>
        </w:rPr>
      </w:pPr>
      <w:r>
        <w:rPr>
          <w:b/>
        </w:rPr>
        <w:t>Č</w:t>
      </w:r>
      <w:r w:rsidR="00A74461">
        <w:rPr>
          <w:b/>
        </w:rPr>
        <w:t>lánek V</w:t>
      </w:r>
      <w:r w:rsidR="00D34C36">
        <w:rPr>
          <w:b/>
        </w:rPr>
        <w:t>I</w:t>
      </w:r>
      <w:r w:rsidR="00A74461">
        <w:rPr>
          <w:b/>
        </w:rPr>
        <w:t>.</w:t>
      </w:r>
    </w:p>
    <w:p w14:paraId="1FAA7DDB" w14:textId="77777777" w:rsidR="00A74461" w:rsidRDefault="00A74461" w:rsidP="00212395">
      <w:pPr>
        <w:spacing w:after="240"/>
        <w:jc w:val="center"/>
        <w:rPr>
          <w:b/>
        </w:rPr>
      </w:pPr>
      <w:r>
        <w:rPr>
          <w:b/>
        </w:rPr>
        <w:t>Prohlášení smluvních stran</w:t>
      </w:r>
    </w:p>
    <w:p w14:paraId="1FAA7DDD" w14:textId="2AECB18F" w:rsidR="003038B2" w:rsidRPr="007372B6" w:rsidRDefault="003038B2" w:rsidP="00641984">
      <w:pPr>
        <w:spacing w:after="240"/>
        <w:jc w:val="both"/>
      </w:pPr>
      <w:r w:rsidRPr="007372B6">
        <w:t xml:space="preserve">(1) Prodávající prohlašuje, že ode dne </w:t>
      </w:r>
      <w:r w:rsidR="00DC3D5C" w:rsidRPr="007372B6">
        <w:t xml:space="preserve">provedení </w:t>
      </w:r>
      <w:r w:rsidR="002D38C1" w:rsidRPr="007372B6">
        <w:t>vkladu</w:t>
      </w:r>
      <w:r w:rsidR="00DC3D5C" w:rsidRPr="007372B6">
        <w:t xml:space="preserve"> </w:t>
      </w:r>
      <w:r w:rsidR="002D38C1" w:rsidRPr="007372B6">
        <w:t xml:space="preserve">prohlášení vlastníka budovy </w:t>
      </w:r>
      <w:r w:rsidR="00DC3D5C" w:rsidRPr="007372B6">
        <w:t>do</w:t>
      </w:r>
      <w:r w:rsidR="002D38C1" w:rsidRPr="007372B6">
        <w:t> </w:t>
      </w:r>
      <w:r w:rsidR="00DC3D5C" w:rsidRPr="007372B6">
        <w:t xml:space="preserve">katastru nemovitostí </w:t>
      </w:r>
      <w:r w:rsidRPr="007372B6">
        <w:t xml:space="preserve">nedošlo k podstatné změně v charakteru </w:t>
      </w:r>
      <w:r w:rsidR="002C276F" w:rsidRPr="007372B6">
        <w:t>bytové jednotky</w:t>
      </w:r>
      <w:r w:rsidRPr="007372B6">
        <w:t xml:space="preserve"> č. </w:t>
      </w:r>
      <w:r w:rsidR="000B5FE4">
        <w:t>1963/18</w:t>
      </w:r>
      <w:r w:rsidR="005E6923" w:rsidRPr="007372B6">
        <w:t xml:space="preserve"> </w:t>
      </w:r>
      <w:r w:rsidRPr="007372B6">
        <w:t>ve smyslu ust. § 6 odst. 3 zákona č.</w:t>
      </w:r>
      <w:r w:rsidR="00DC3D5C" w:rsidRPr="007372B6">
        <w:t> </w:t>
      </w:r>
      <w:r w:rsidRPr="007372B6">
        <w:t>72/1994 Sb., kterým se upravují některé spoluvlastnické vztahy k budovám a některé vlastnické vztahy k bytům nebytovým prostorům a doplňují některé zákony (zákon o</w:t>
      </w:r>
      <w:r w:rsidR="00DC3D5C" w:rsidRPr="007372B6">
        <w:t> </w:t>
      </w:r>
      <w:r w:rsidRPr="007372B6">
        <w:t>vlastnictví bytů), ve znění pozdějších předpisů.</w:t>
      </w:r>
    </w:p>
    <w:p w14:paraId="1FAA7DE1" w14:textId="5DCD9735" w:rsidR="00F25093" w:rsidRPr="00BA641A" w:rsidRDefault="00F25093" w:rsidP="00641984">
      <w:pPr>
        <w:spacing w:after="240"/>
        <w:jc w:val="both"/>
      </w:pPr>
      <w:r w:rsidRPr="00BA641A">
        <w:t>(</w:t>
      </w:r>
      <w:r w:rsidR="006557C1">
        <w:t>2</w:t>
      </w:r>
      <w:r w:rsidRPr="00BA641A">
        <w:t xml:space="preserve">) Prodávající prohlašuje, že správu bytového domu č.p. </w:t>
      </w:r>
      <w:r w:rsidR="006557C1">
        <w:rPr>
          <w:rStyle w:val="preformatted"/>
        </w:rPr>
        <w:t>1963</w:t>
      </w:r>
      <w:r w:rsidR="00497AE9" w:rsidRPr="00BA641A">
        <w:t xml:space="preserve"> </w:t>
      </w:r>
      <w:r w:rsidRPr="00BA641A">
        <w:t xml:space="preserve">zajišťuje </w:t>
      </w:r>
      <w:r w:rsidR="006557C1">
        <w:t>Domovní správa města Přerova</w:t>
      </w:r>
      <w:r w:rsidR="001A6FEE" w:rsidRPr="00BA641A">
        <w:t xml:space="preserve">, IČ </w:t>
      </w:r>
      <w:r w:rsidR="006557C1">
        <w:t>41184728</w:t>
      </w:r>
      <w:r w:rsidR="001A6FEE" w:rsidRPr="00BA641A">
        <w:t xml:space="preserve">, se sídlem </w:t>
      </w:r>
      <w:r w:rsidR="006557C1">
        <w:t>Blahoslavova 3</w:t>
      </w:r>
      <w:r w:rsidR="00BA641A" w:rsidRPr="00BA641A">
        <w:t>, Přerov I-Město, 750 02 Přerov</w:t>
      </w:r>
      <w:r w:rsidR="001A6FEE" w:rsidRPr="00BA641A">
        <w:t>.</w:t>
      </w:r>
    </w:p>
    <w:p w14:paraId="6468350A" w14:textId="06B22382" w:rsidR="00AF5C98" w:rsidRDefault="006A4C85" w:rsidP="00AF5C98">
      <w:pPr>
        <w:spacing w:after="240"/>
        <w:jc w:val="both"/>
      </w:pPr>
      <w:r>
        <w:t>(</w:t>
      </w:r>
      <w:r w:rsidR="000F057F">
        <w:t>3</w:t>
      </w:r>
      <w:r>
        <w:t xml:space="preserve">) </w:t>
      </w:r>
      <w:r w:rsidR="00A74461">
        <w:t>Prodávající prohlašuje, že na předmětu převodu neváznou žádná zástavní práva, věcná břemena</w:t>
      </w:r>
      <w:r w:rsidR="009F7352">
        <w:t xml:space="preserve">, </w:t>
      </w:r>
      <w:r w:rsidR="00924356">
        <w:t xml:space="preserve">jiná práva třetích osob </w:t>
      </w:r>
      <w:r w:rsidR="00A74461">
        <w:t xml:space="preserve">ani žádné právní vady, že není žádným způsobem omezen v dispozici se svým majetkem a nebyla proti němu nařízena exekuce ani </w:t>
      </w:r>
      <w:r w:rsidR="00196D78">
        <w:t xml:space="preserve">nebyl </w:t>
      </w:r>
      <w:r w:rsidR="00A74461">
        <w:t xml:space="preserve">podán návrh na nařízení výkonu rozhodnutí prodejem nemovitosti nebo zřízením soudcovského zástavního práva. </w:t>
      </w:r>
    </w:p>
    <w:p w14:paraId="1FAA7DE5" w14:textId="4614192F" w:rsidR="00450FD0" w:rsidRPr="007372B6" w:rsidRDefault="003D34F6" w:rsidP="00641984">
      <w:pPr>
        <w:spacing w:after="240"/>
        <w:jc w:val="both"/>
      </w:pPr>
      <w:r w:rsidRPr="007372B6">
        <w:t>(</w:t>
      </w:r>
      <w:r w:rsidR="000F057F">
        <w:t>4</w:t>
      </w:r>
      <w:r w:rsidRPr="007372B6">
        <w:t xml:space="preserve">) Kupující prohlašuje, že </w:t>
      </w:r>
      <w:r w:rsidR="007160ED" w:rsidRPr="007372B6">
        <w:t>mu</w:t>
      </w:r>
      <w:r w:rsidRPr="007372B6">
        <w:t xml:space="preserve"> prodávající </w:t>
      </w:r>
      <w:r w:rsidR="00F938A9" w:rsidRPr="007372B6">
        <w:t xml:space="preserve">předal </w:t>
      </w:r>
      <w:r w:rsidRPr="007372B6">
        <w:t xml:space="preserve">při podpisu smlouvy </w:t>
      </w:r>
      <w:r w:rsidR="007160ED" w:rsidRPr="007372B6">
        <w:t xml:space="preserve">potvrzení </w:t>
      </w:r>
      <w:r w:rsidR="00C70C6F" w:rsidRPr="007372B6">
        <w:t xml:space="preserve">ve smyslu ust. § 1186 odst. </w:t>
      </w:r>
      <w:r w:rsidR="000F057F">
        <w:t>3</w:t>
      </w:r>
      <w:r w:rsidR="00C70C6F" w:rsidRPr="007372B6">
        <w:t xml:space="preserve"> občanského zákoníku vystavené </w:t>
      </w:r>
      <w:r w:rsidR="00150203" w:rsidRPr="007372B6">
        <w:t xml:space="preserve">společností </w:t>
      </w:r>
      <w:r w:rsidR="000F057F">
        <w:t>Domovní správa města Přerova</w:t>
      </w:r>
      <w:r w:rsidR="000F057F" w:rsidRPr="00BA641A">
        <w:t xml:space="preserve">, IČ </w:t>
      </w:r>
      <w:r w:rsidR="000F057F">
        <w:t>41184728</w:t>
      </w:r>
      <w:r w:rsidR="000F057F" w:rsidRPr="00BA641A">
        <w:t xml:space="preserve">, se sídlem </w:t>
      </w:r>
      <w:r w:rsidR="000F057F">
        <w:t>Blahoslavova 3</w:t>
      </w:r>
      <w:r w:rsidR="000F057F" w:rsidRPr="00BA641A">
        <w:t>, Přerov I-Město, 750 02 Přerov</w:t>
      </w:r>
      <w:r w:rsidR="00785A82">
        <w:t>.</w:t>
      </w:r>
    </w:p>
    <w:p w14:paraId="1FAA7DE8" w14:textId="60BE7CA8" w:rsidR="00026BF1" w:rsidRPr="00C5266C" w:rsidRDefault="00A95A25" w:rsidP="00641984">
      <w:pPr>
        <w:jc w:val="both"/>
      </w:pPr>
      <w:r>
        <w:t>(</w:t>
      </w:r>
      <w:r w:rsidR="000F057F">
        <w:t>5</w:t>
      </w:r>
      <w:r w:rsidR="00F938A9">
        <w:t>)</w:t>
      </w:r>
      <w:r w:rsidR="001047FE">
        <w:t xml:space="preserve"> Kupující prohlašuj</w:t>
      </w:r>
      <w:r w:rsidR="001E5024">
        <w:t>e</w:t>
      </w:r>
      <w:r>
        <w:t xml:space="preserve">, že byl </w:t>
      </w:r>
      <w:r w:rsidR="00F16B7B">
        <w:t xml:space="preserve">před podpisem smlouvy </w:t>
      </w:r>
      <w:r>
        <w:t xml:space="preserve">seznámen </w:t>
      </w:r>
      <w:r w:rsidR="00FB3352">
        <w:t xml:space="preserve">prodávajícím </w:t>
      </w:r>
      <w:r>
        <w:t>s pravidly pro</w:t>
      </w:r>
      <w:r w:rsidR="00FB3352">
        <w:t> </w:t>
      </w:r>
      <w:r>
        <w:t>přispívání spoluvlastníků na výdaje spojené se správou,</w:t>
      </w:r>
      <w:r w:rsidR="000F057F">
        <w:t xml:space="preserve"> </w:t>
      </w:r>
      <w:r>
        <w:t xml:space="preserve">opravami a údržbou společných </w:t>
      </w:r>
      <w:r>
        <w:lastRenderedPageBreak/>
        <w:t>částí domu a</w:t>
      </w:r>
      <w:r w:rsidR="00F16B7B">
        <w:t> </w:t>
      </w:r>
      <w:r>
        <w:t>pravidly pro správu společných částí domu</w:t>
      </w:r>
      <w:r w:rsidR="00E07D84">
        <w:t>, která jsou součástí prohlášení vlastníka budovy</w:t>
      </w:r>
      <w:r w:rsidR="00026BF1">
        <w:t>.</w:t>
      </w:r>
    </w:p>
    <w:p w14:paraId="2FAF4ED6" w14:textId="77777777" w:rsidR="00641984" w:rsidRDefault="00641984" w:rsidP="00ED288D">
      <w:pPr>
        <w:jc w:val="center"/>
        <w:rPr>
          <w:b/>
        </w:rPr>
      </w:pPr>
    </w:p>
    <w:p w14:paraId="1FAA7DE9" w14:textId="3F6E7846" w:rsidR="00114D7D" w:rsidRDefault="003C5369" w:rsidP="00ED288D">
      <w:pPr>
        <w:jc w:val="center"/>
        <w:rPr>
          <w:b/>
        </w:rPr>
      </w:pPr>
      <w:r>
        <w:rPr>
          <w:b/>
        </w:rPr>
        <w:t xml:space="preserve">Článek </w:t>
      </w:r>
      <w:r w:rsidR="00C5266C">
        <w:rPr>
          <w:b/>
        </w:rPr>
        <w:t>VII</w:t>
      </w:r>
      <w:r>
        <w:rPr>
          <w:b/>
        </w:rPr>
        <w:t>.</w:t>
      </w:r>
    </w:p>
    <w:p w14:paraId="1FAA7DEA" w14:textId="77777777" w:rsidR="00114D7D" w:rsidRDefault="00B53F18" w:rsidP="002A52B7">
      <w:pPr>
        <w:jc w:val="center"/>
        <w:rPr>
          <w:b/>
        </w:rPr>
      </w:pPr>
      <w:r w:rsidRPr="00B53F18">
        <w:rPr>
          <w:b/>
        </w:rPr>
        <w:t>Přechod práv a závazků váznoucích na předmětu převodu</w:t>
      </w:r>
    </w:p>
    <w:p w14:paraId="00411175" w14:textId="77777777" w:rsidR="00C062B6" w:rsidRPr="00B53F18" w:rsidRDefault="00C062B6" w:rsidP="002A52B7">
      <w:pPr>
        <w:jc w:val="center"/>
        <w:rPr>
          <w:b/>
        </w:rPr>
      </w:pPr>
    </w:p>
    <w:p w14:paraId="1FAA7DEB" w14:textId="5D76C8B8" w:rsidR="00114D7D" w:rsidRDefault="00114D7D" w:rsidP="00B53F18">
      <w:pPr>
        <w:spacing w:after="120"/>
        <w:jc w:val="both"/>
      </w:pPr>
      <w:r>
        <w:t xml:space="preserve">Na </w:t>
      </w:r>
      <w:r w:rsidR="000060EF">
        <w:t>kupující</w:t>
      </w:r>
      <w:r w:rsidR="000B4663">
        <w:t>ho</w:t>
      </w:r>
      <w:r w:rsidR="000060EF">
        <w:t xml:space="preserve"> jako vlastníka </w:t>
      </w:r>
      <w:r w:rsidR="000F057F">
        <w:t>bytové jednotky č. 1963/18</w:t>
      </w:r>
      <w:r w:rsidR="00BA5B82">
        <w:t xml:space="preserve"> </w:t>
      </w:r>
      <w:r>
        <w:t>přechází následující práva a</w:t>
      </w:r>
      <w:r w:rsidR="007160ED">
        <w:t> </w:t>
      </w:r>
      <w:r>
        <w:t xml:space="preserve">závazky: </w:t>
      </w:r>
    </w:p>
    <w:p w14:paraId="1FAA7DEC" w14:textId="00B0D9A0" w:rsidR="00114D7D" w:rsidRDefault="00114D7D" w:rsidP="001B6CDD">
      <w:pPr>
        <w:spacing w:after="120"/>
        <w:jc w:val="both"/>
      </w:pPr>
      <w:r>
        <w:t>a) práva a závazky v souvislosti s uzavřením smluv na</w:t>
      </w:r>
      <w:r w:rsidR="00450FD0">
        <w:t xml:space="preserve"> </w:t>
      </w:r>
      <w:r w:rsidR="000B4663">
        <w:t xml:space="preserve">odběr </w:t>
      </w:r>
      <w:r>
        <w:t>pitné vody a</w:t>
      </w:r>
      <w:r w:rsidR="000B4663">
        <w:t> </w:t>
      </w:r>
      <w:r w:rsidR="005B63F0">
        <w:t>s</w:t>
      </w:r>
      <w:r>
        <w:t xml:space="preserve">točného, </w:t>
      </w:r>
      <w:r w:rsidR="00450FD0">
        <w:t xml:space="preserve">odběru </w:t>
      </w:r>
      <w:r>
        <w:t xml:space="preserve"> elektrické energie pro společné části domu</w:t>
      </w:r>
      <w:r w:rsidR="00196D78" w:rsidRPr="00196D78">
        <w:t xml:space="preserve"> </w:t>
      </w:r>
      <w:r w:rsidR="00196D78">
        <w:t xml:space="preserve">s tím, že v době </w:t>
      </w:r>
      <w:r w:rsidR="000B4663">
        <w:t>zápisu</w:t>
      </w:r>
      <w:r w:rsidR="00196D78">
        <w:t xml:space="preserve"> prohlášení vlastníka budovy </w:t>
      </w:r>
      <w:r w:rsidR="000B4663">
        <w:t xml:space="preserve">vkladem </w:t>
      </w:r>
      <w:r w:rsidR="00196D78">
        <w:t>do katastru nemovitostí byly tyto smlouvy vlastníkem budovy platně uzavřeny</w:t>
      </w:r>
      <w:r w:rsidR="001B6CDD">
        <w:t>,</w:t>
      </w:r>
    </w:p>
    <w:p w14:paraId="1FAA7DEF" w14:textId="14A96648" w:rsidR="00C2342B" w:rsidRDefault="00C062B6" w:rsidP="002A52B7">
      <w:pPr>
        <w:spacing w:after="120"/>
        <w:jc w:val="both"/>
      </w:pPr>
      <w:r>
        <w:t>b</w:t>
      </w:r>
      <w:r w:rsidR="00450FD0">
        <w:t xml:space="preserve">) závazek umožnit </w:t>
      </w:r>
      <w:r w:rsidR="001E5024">
        <w:t xml:space="preserve">výkon vlastnických práv vlastníku provozního zařízení a </w:t>
      </w:r>
      <w:r>
        <w:t>kabelových</w:t>
      </w:r>
      <w:r w:rsidR="001E5024">
        <w:t xml:space="preserve"> rozvodů pro </w:t>
      </w:r>
      <w:r>
        <w:t>příjem signálu kabelové televize</w:t>
      </w:r>
      <w:r w:rsidR="001E5024">
        <w:t>,</w:t>
      </w:r>
      <w:r w:rsidR="002A52B7">
        <w:t xml:space="preserve"> zejména umožnit vstup do budovy oprávněným osobám vlastníka, popř. provozovatele, k provádění </w:t>
      </w:r>
      <w:r>
        <w:t>údržby a o prav</w:t>
      </w:r>
      <w:r w:rsidR="002A52B7">
        <w:t xml:space="preserve"> zařízení a rozvodů </w:t>
      </w:r>
      <w:r>
        <w:t>kabelové televize</w:t>
      </w:r>
      <w:r w:rsidR="002A38F9">
        <w:t>.</w:t>
      </w:r>
    </w:p>
    <w:p w14:paraId="1142E675" w14:textId="77777777" w:rsidR="00C062B6" w:rsidRDefault="00C062B6" w:rsidP="008022C6">
      <w:pPr>
        <w:jc w:val="center"/>
        <w:rPr>
          <w:b/>
        </w:rPr>
      </w:pPr>
    </w:p>
    <w:p w14:paraId="1FAA7DF0" w14:textId="4A0A8952" w:rsidR="00F36816" w:rsidRDefault="00F36816" w:rsidP="008022C6">
      <w:pPr>
        <w:jc w:val="center"/>
        <w:rPr>
          <w:b/>
        </w:rPr>
      </w:pPr>
      <w:r>
        <w:rPr>
          <w:b/>
        </w:rPr>
        <w:t xml:space="preserve">Článek </w:t>
      </w:r>
      <w:r w:rsidR="002A52B7">
        <w:rPr>
          <w:b/>
        </w:rPr>
        <w:t>VIII</w:t>
      </w:r>
      <w:r>
        <w:rPr>
          <w:b/>
        </w:rPr>
        <w:t>.</w:t>
      </w:r>
    </w:p>
    <w:p w14:paraId="1FAA7DF1" w14:textId="77777777" w:rsidR="00F36816" w:rsidRDefault="00F36816" w:rsidP="00212395">
      <w:pPr>
        <w:spacing w:after="240"/>
        <w:jc w:val="center"/>
        <w:rPr>
          <w:b/>
        </w:rPr>
      </w:pPr>
      <w:r>
        <w:rPr>
          <w:b/>
        </w:rPr>
        <w:t>Předání předmětu převodu</w:t>
      </w:r>
    </w:p>
    <w:p w14:paraId="1FAA7DF2" w14:textId="70D1B2A8" w:rsidR="00F36816" w:rsidRPr="00C54110" w:rsidRDefault="00F36816" w:rsidP="00F36816">
      <w:pPr>
        <w:jc w:val="both"/>
        <w:rPr>
          <w:color w:val="000000"/>
        </w:rPr>
      </w:pPr>
      <w:r w:rsidRPr="00C54110">
        <w:rPr>
          <w:color w:val="000000"/>
        </w:rPr>
        <w:t>Smluvní strany se dohodly, že prodávající předá kupující</w:t>
      </w:r>
      <w:r w:rsidR="007160ED">
        <w:rPr>
          <w:color w:val="000000"/>
        </w:rPr>
        <w:t>m</w:t>
      </w:r>
      <w:r w:rsidR="002A52B7">
        <w:rPr>
          <w:color w:val="000000"/>
        </w:rPr>
        <w:t>u</w:t>
      </w:r>
      <w:r w:rsidRPr="00C54110">
        <w:rPr>
          <w:color w:val="000000"/>
        </w:rPr>
        <w:t xml:space="preserve"> předmět převodu nejpozději do</w:t>
      </w:r>
      <w:r w:rsidR="007160ED">
        <w:rPr>
          <w:color w:val="000000"/>
        </w:rPr>
        <w:t> </w:t>
      </w:r>
      <w:r w:rsidR="00F52792">
        <w:rPr>
          <w:color w:val="000000"/>
        </w:rPr>
        <w:t>10</w:t>
      </w:r>
      <w:r w:rsidR="007160ED">
        <w:rPr>
          <w:color w:val="000000"/>
        </w:rPr>
        <w:t> </w:t>
      </w:r>
      <w:r w:rsidR="00B23E2E" w:rsidRPr="00C54110">
        <w:rPr>
          <w:color w:val="000000"/>
        </w:rPr>
        <w:t>pracovních</w:t>
      </w:r>
      <w:r w:rsidRPr="00C54110">
        <w:rPr>
          <w:color w:val="000000"/>
        </w:rPr>
        <w:t xml:space="preserve"> dnů poté, co </w:t>
      </w:r>
      <w:r w:rsidR="002D38C1">
        <w:rPr>
          <w:color w:val="000000"/>
        </w:rPr>
        <w:t xml:space="preserve">Katastrální úřad pro Olomoucký kraj, </w:t>
      </w:r>
      <w:r w:rsidR="00C062B6">
        <w:rPr>
          <w:color w:val="000000"/>
        </w:rPr>
        <w:t>K</w:t>
      </w:r>
      <w:r w:rsidR="002D38C1">
        <w:rPr>
          <w:color w:val="000000"/>
        </w:rPr>
        <w:t>atastrální pracoviště Přerov, povolí vklad</w:t>
      </w:r>
      <w:r w:rsidRPr="00C54110">
        <w:rPr>
          <w:color w:val="000000"/>
        </w:rPr>
        <w:t xml:space="preserve"> </w:t>
      </w:r>
      <w:r w:rsidR="002D38C1" w:rsidRPr="00C54110">
        <w:rPr>
          <w:color w:val="000000"/>
        </w:rPr>
        <w:t xml:space="preserve">vlastnického práva do katastru nemovitostí </w:t>
      </w:r>
      <w:r w:rsidRPr="00C54110">
        <w:rPr>
          <w:color w:val="000000"/>
        </w:rPr>
        <w:t>na základě této smlouvy, přičemž smluvní strany se</w:t>
      </w:r>
      <w:r w:rsidR="007406EB">
        <w:rPr>
          <w:color w:val="000000"/>
        </w:rPr>
        <w:t> </w:t>
      </w:r>
      <w:r w:rsidRPr="00C54110">
        <w:rPr>
          <w:color w:val="000000"/>
        </w:rPr>
        <w:t>zavazují sepsat o</w:t>
      </w:r>
      <w:r w:rsidR="007160ED">
        <w:rPr>
          <w:color w:val="000000"/>
        </w:rPr>
        <w:t> </w:t>
      </w:r>
      <w:r w:rsidRPr="00C54110">
        <w:rPr>
          <w:color w:val="000000"/>
        </w:rPr>
        <w:t>předání předmětu převodu předávací protokol.</w:t>
      </w:r>
    </w:p>
    <w:p w14:paraId="1FAA7DF3" w14:textId="77777777" w:rsidR="00F938A9" w:rsidRDefault="00F938A9" w:rsidP="006F3BCC">
      <w:pPr>
        <w:jc w:val="center"/>
        <w:rPr>
          <w:b/>
        </w:rPr>
      </w:pPr>
    </w:p>
    <w:p w14:paraId="1FAA7DF4" w14:textId="050262AE" w:rsidR="003038B2" w:rsidRDefault="00F938A9" w:rsidP="006F3BCC">
      <w:pPr>
        <w:jc w:val="center"/>
        <w:rPr>
          <w:b/>
        </w:rPr>
      </w:pPr>
      <w:r>
        <w:rPr>
          <w:b/>
        </w:rPr>
        <w:t xml:space="preserve">Článek </w:t>
      </w:r>
      <w:r w:rsidR="002A52B7">
        <w:rPr>
          <w:b/>
        </w:rPr>
        <w:t>I</w:t>
      </w:r>
      <w:r>
        <w:rPr>
          <w:b/>
        </w:rPr>
        <w:t>X.</w:t>
      </w:r>
    </w:p>
    <w:p w14:paraId="1FAA7DF5" w14:textId="77777777" w:rsidR="00F938A9" w:rsidRDefault="00F938A9" w:rsidP="00894032">
      <w:pPr>
        <w:jc w:val="center"/>
        <w:rPr>
          <w:b/>
        </w:rPr>
      </w:pPr>
      <w:r>
        <w:rPr>
          <w:b/>
        </w:rPr>
        <w:t>Odstoupení od smlouvy</w:t>
      </w:r>
    </w:p>
    <w:p w14:paraId="5316088C" w14:textId="77777777" w:rsidR="00C062B6" w:rsidRDefault="00C062B6" w:rsidP="00894032">
      <w:pPr>
        <w:jc w:val="center"/>
        <w:rPr>
          <w:b/>
        </w:rPr>
      </w:pPr>
    </w:p>
    <w:p w14:paraId="24D8DF61" w14:textId="74A50A9E" w:rsidR="007F0745" w:rsidRDefault="007F0745" w:rsidP="007F0745">
      <w:pPr>
        <w:jc w:val="both"/>
      </w:pPr>
      <w:r>
        <w:t xml:space="preserve">(1) Neuhradí-li kupující prodávajícímu kupní cenu ve výši a lhůtě dle čl. </w:t>
      </w:r>
      <w:r w:rsidR="00C062B6">
        <w:t>V</w:t>
      </w:r>
      <w:r>
        <w:t xml:space="preserve"> ods. 1 a 2 této smlouvy, je prodávající oprávněn od této smlouvy odstoupit.</w:t>
      </w:r>
    </w:p>
    <w:p w14:paraId="2EFE5E83" w14:textId="77777777" w:rsidR="007F0745" w:rsidRDefault="007F0745" w:rsidP="007F0745">
      <w:pPr>
        <w:jc w:val="both"/>
      </w:pPr>
    </w:p>
    <w:p w14:paraId="61951ED8" w14:textId="2A39FD39" w:rsidR="007372B6" w:rsidRPr="00931377" w:rsidRDefault="007F0745" w:rsidP="00931377">
      <w:pPr>
        <w:jc w:val="both"/>
      </w:pPr>
      <w:r>
        <w:t>(2) Odstoupením od smlouvy se smlouva ruší ke dni, kdy je prohlášení prodávajícího o odstoupení od smlouvy doručeno straně kupující.</w:t>
      </w:r>
    </w:p>
    <w:p w14:paraId="49CB3A74" w14:textId="77777777" w:rsidR="007372B6" w:rsidRDefault="007372B6" w:rsidP="006F3BCC">
      <w:pPr>
        <w:jc w:val="center"/>
        <w:rPr>
          <w:b/>
        </w:rPr>
      </w:pPr>
    </w:p>
    <w:p w14:paraId="1FAA7DFA" w14:textId="30CD29D9" w:rsidR="009C78DB" w:rsidRDefault="009C78DB" w:rsidP="006F3BCC">
      <w:pPr>
        <w:jc w:val="center"/>
        <w:rPr>
          <w:b/>
        </w:rPr>
      </w:pPr>
      <w:r>
        <w:rPr>
          <w:b/>
        </w:rPr>
        <w:t xml:space="preserve">Článek </w:t>
      </w:r>
      <w:r w:rsidR="00B23E2E">
        <w:rPr>
          <w:b/>
        </w:rPr>
        <w:t>X</w:t>
      </w:r>
      <w:r>
        <w:rPr>
          <w:b/>
        </w:rPr>
        <w:t>.</w:t>
      </w:r>
    </w:p>
    <w:p w14:paraId="1FAA7DFB" w14:textId="77777777" w:rsidR="00B53F18" w:rsidRDefault="00B53F18" w:rsidP="00894032">
      <w:pPr>
        <w:jc w:val="center"/>
        <w:rPr>
          <w:b/>
        </w:rPr>
      </w:pPr>
      <w:r>
        <w:rPr>
          <w:b/>
        </w:rPr>
        <w:t>Vklad vlastnického práva do katastru nemovitostí</w:t>
      </w:r>
    </w:p>
    <w:p w14:paraId="4A203F22" w14:textId="77777777" w:rsidR="00C062B6" w:rsidRDefault="00C062B6" w:rsidP="00894032">
      <w:pPr>
        <w:jc w:val="center"/>
        <w:rPr>
          <w:b/>
        </w:rPr>
      </w:pPr>
    </w:p>
    <w:p w14:paraId="1FAA7DFC" w14:textId="184D96E1" w:rsidR="006F3BCC" w:rsidRDefault="006F3BCC" w:rsidP="006F3BCC">
      <w:pPr>
        <w:jc w:val="both"/>
      </w:pPr>
      <w:r>
        <w:t>(1) Kupující nab</w:t>
      </w:r>
      <w:r w:rsidR="00A97DA1">
        <w:t>y</w:t>
      </w:r>
      <w:r>
        <w:t>d</w:t>
      </w:r>
      <w:r w:rsidR="00C062B6">
        <w:t>e</w:t>
      </w:r>
      <w:r>
        <w:t xml:space="preserve"> vlastnické právo </w:t>
      </w:r>
      <w:r w:rsidR="009C78DB">
        <w:t xml:space="preserve">k předmětu převodu </w:t>
      </w:r>
      <w:r>
        <w:t xml:space="preserve">na základě rozhodnutí Katastrálního úřadu pro Olomoucký kraj, </w:t>
      </w:r>
      <w:r w:rsidR="00C062B6">
        <w:t>K</w:t>
      </w:r>
      <w:r>
        <w:t>atastrální pracoviště Přerov</w:t>
      </w:r>
      <w:r w:rsidR="000060EF">
        <w:t>,</w:t>
      </w:r>
      <w:r>
        <w:t xml:space="preserve"> o povolení vkladu vlastnického práva do katastru nemovitostí, a to zpětně k</w:t>
      </w:r>
      <w:r w:rsidR="000B4663">
        <w:t xml:space="preserve"> okamžiku</w:t>
      </w:r>
      <w:r>
        <w:t xml:space="preserve"> podání návrhu na vklad.</w:t>
      </w:r>
    </w:p>
    <w:p w14:paraId="1FAA7DFD" w14:textId="77777777" w:rsidR="006F3BCC" w:rsidRDefault="006F3BCC" w:rsidP="006F3BCC">
      <w:pPr>
        <w:jc w:val="both"/>
      </w:pPr>
    </w:p>
    <w:p w14:paraId="24B105C1" w14:textId="5EAF8FA8" w:rsidR="006670FF" w:rsidRDefault="006F3BCC" w:rsidP="006670FF">
      <w:pPr>
        <w:jc w:val="both"/>
      </w:pPr>
      <w:r>
        <w:t xml:space="preserve">(2) Smluvní strany se dohodly, že návrh na vklad vlastnického práva do katastru nemovitostí podá příslušnému katastrálnímu úřadu </w:t>
      </w:r>
      <w:r w:rsidR="00D364AD">
        <w:t>prodávající, a to do 2</w:t>
      </w:r>
      <w:r w:rsidR="009C78DB">
        <w:t xml:space="preserve">0 dnů </w:t>
      </w:r>
      <w:r w:rsidR="007160ED">
        <w:t>poté</w:t>
      </w:r>
      <w:r w:rsidR="000060EF">
        <w:t xml:space="preserve">, </w:t>
      </w:r>
      <w:r w:rsidR="007160ED">
        <w:t>co</w:t>
      </w:r>
      <w:r w:rsidR="000060EF">
        <w:t xml:space="preserve"> kupující uhradí prodávajícímu kupní cenu </w:t>
      </w:r>
      <w:r w:rsidR="00206B66">
        <w:t>dle</w:t>
      </w:r>
      <w:r w:rsidR="00870268">
        <w:t xml:space="preserve"> čl. </w:t>
      </w:r>
      <w:r w:rsidR="000060EF">
        <w:t>V této smlouvy</w:t>
      </w:r>
      <w:r w:rsidR="002A52B7">
        <w:t>.</w:t>
      </w:r>
    </w:p>
    <w:p w14:paraId="7343353C" w14:textId="77777777" w:rsidR="00212395" w:rsidRDefault="00212395" w:rsidP="006670FF">
      <w:pPr>
        <w:jc w:val="both"/>
      </w:pPr>
    </w:p>
    <w:p w14:paraId="273480DE" w14:textId="4A41C614" w:rsidR="00C062B6" w:rsidRDefault="00BD4953" w:rsidP="00BD4953">
      <w:pPr>
        <w:jc w:val="both"/>
      </w:pPr>
      <w:r>
        <w:t>(3)</w:t>
      </w:r>
      <w:r>
        <w:rPr>
          <w:b/>
        </w:rPr>
        <w:t xml:space="preserve"> </w:t>
      </w:r>
      <w:r>
        <w:t>Smluvní strany se dohodly, že správní poplatek za podání návrhu na vklad vlastnického práva do katastru nemovitostí uhradí kupující.</w:t>
      </w:r>
    </w:p>
    <w:p w14:paraId="5B7D9091" w14:textId="77777777" w:rsidR="00C062B6" w:rsidRDefault="00C062B6" w:rsidP="00BD4953">
      <w:pPr>
        <w:jc w:val="both"/>
      </w:pPr>
    </w:p>
    <w:p w14:paraId="1FAA7E01" w14:textId="77777777" w:rsidR="00487089" w:rsidRDefault="00487089" w:rsidP="006F3BCC">
      <w:pPr>
        <w:jc w:val="center"/>
        <w:rPr>
          <w:b/>
        </w:rPr>
      </w:pPr>
    </w:p>
    <w:p w14:paraId="1FAA7E02" w14:textId="07DA3D20" w:rsidR="006F3BCC" w:rsidRDefault="006F3BCC" w:rsidP="006F3BCC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F36816">
        <w:rPr>
          <w:b/>
        </w:rPr>
        <w:t>X</w:t>
      </w:r>
      <w:r w:rsidR="009D32CC">
        <w:rPr>
          <w:b/>
        </w:rPr>
        <w:t>I</w:t>
      </w:r>
      <w:r>
        <w:rPr>
          <w:b/>
        </w:rPr>
        <w:t>.</w:t>
      </w:r>
    </w:p>
    <w:p w14:paraId="1FAA7E03" w14:textId="77777777" w:rsidR="00B53F18" w:rsidRDefault="00B53F18" w:rsidP="00894032">
      <w:pPr>
        <w:jc w:val="center"/>
        <w:rPr>
          <w:b/>
        </w:rPr>
      </w:pPr>
      <w:r>
        <w:rPr>
          <w:b/>
        </w:rPr>
        <w:t>Závěrečná ustanovení</w:t>
      </w:r>
    </w:p>
    <w:p w14:paraId="63760A7A" w14:textId="77777777" w:rsidR="00C062B6" w:rsidRDefault="00C062B6" w:rsidP="00894032">
      <w:pPr>
        <w:jc w:val="center"/>
        <w:rPr>
          <w:b/>
        </w:rPr>
      </w:pPr>
    </w:p>
    <w:p w14:paraId="5522EC1B" w14:textId="5087F54B" w:rsidR="000B0391" w:rsidRDefault="000B0391" w:rsidP="000B0391">
      <w:pPr>
        <w:tabs>
          <w:tab w:val="decimal" w:pos="142"/>
        </w:tabs>
        <w:spacing w:after="120"/>
        <w:jc w:val="both"/>
      </w:pPr>
      <w:r>
        <w:t xml:space="preserve">(1) </w:t>
      </w:r>
      <w:r w:rsidRPr="009D70C5">
        <w:t>Smluvní strany se dohodly, že pro</w:t>
      </w:r>
      <w:r>
        <w:t>dávající</w:t>
      </w:r>
      <w:r w:rsidRPr="009D70C5">
        <w:t xml:space="preserve"> uveřejní smlouvu</w:t>
      </w:r>
      <w:r>
        <w:t xml:space="preserve"> prostřednictvím registru </w:t>
      </w:r>
      <w:r>
        <w:br/>
      </w:r>
      <w:r w:rsidRPr="009D70C5">
        <w:t>smluv ve smyslu zákona č. 340/2015 Sb., o zvláštních</w:t>
      </w:r>
      <w:r>
        <w:t xml:space="preserve"> podmínkách účinnosti některých </w:t>
      </w:r>
      <w:r w:rsidRPr="009D70C5">
        <w:t>smluv, uveřejňování těchto smluv a o registru smluv (zák</w:t>
      </w:r>
      <w:r>
        <w:t xml:space="preserve">on o registru smluv), bez </w:t>
      </w:r>
      <w:r>
        <w:br/>
      </w:r>
      <w:r w:rsidRPr="009D70C5">
        <w:t>zbytečného od</w:t>
      </w:r>
      <w:r>
        <w:t xml:space="preserve">kladu po podpisu této </w:t>
      </w:r>
      <w:r w:rsidR="002F0EFA">
        <w:t>k</w:t>
      </w:r>
      <w:r>
        <w:t xml:space="preserve">upní smlouvy </w:t>
      </w:r>
      <w:r w:rsidRPr="009D70C5">
        <w:t>oběma smluvními stranami.</w:t>
      </w:r>
    </w:p>
    <w:p w14:paraId="30529EA9" w14:textId="29D40898" w:rsidR="000B0391" w:rsidRPr="000F5B1A" w:rsidRDefault="000B0391" w:rsidP="000F5B1A">
      <w:pPr>
        <w:pStyle w:val="Zkladntext"/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iCs/>
          <w:color w:val="000000"/>
        </w:rPr>
        <w:t>(</w:t>
      </w:r>
      <w:r w:rsidR="001F3A7B">
        <w:rPr>
          <w:iCs/>
          <w:color w:val="000000"/>
        </w:rPr>
        <w:t>2</w:t>
      </w:r>
      <w:r>
        <w:rPr>
          <w:color w:val="000000"/>
        </w:rPr>
        <w:t>) Práva a povinnosti touto smlouvou neupravené se řídí příslušnými ustanoveními právních předpisů České republiky v účinném znění, tj. zejména zákonem č. 89/2012 Sb., občanský zákoník, v platném znění.</w:t>
      </w:r>
    </w:p>
    <w:p w14:paraId="6C9D97E0" w14:textId="2138DA64" w:rsidR="000B0391" w:rsidRDefault="000B0391" w:rsidP="000B0391">
      <w:pPr>
        <w:tabs>
          <w:tab w:val="decimal" w:pos="426"/>
        </w:tabs>
        <w:spacing w:after="120"/>
        <w:jc w:val="both"/>
      </w:pPr>
      <w:r>
        <w:rPr>
          <w:iCs/>
          <w:color w:val="000000"/>
        </w:rPr>
        <w:t>(</w:t>
      </w:r>
      <w:r w:rsidR="001F3A7B">
        <w:rPr>
          <w:iCs/>
          <w:color w:val="000000"/>
        </w:rPr>
        <w:t>3</w:t>
      </w:r>
      <w:r>
        <w:rPr>
          <w:iCs/>
          <w:color w:val="000000"/>
        </w:rPr>
        <w:t xml:space="preserve">) </w:t>
      </w:r>
      <w:r>
        <w:t xml:space="preserve">Smlouva nabývá platnosti </w:t>
      </w:r>
      <w:r w:rsidRPr="00DF4D08">
        <w:t xml:space="preserve">dnem </w:t>
      </w:r>
      <w:r>
        <w:t xml:space="preserve">jejího </w:t>
      </w:r>
      <w:r w:rsidRPr="00DF4D08">
        <w:t>podpisu oběma smluvními stranami</w:t>
      </w:r>
      <w:r w:rsidRPr="00CD452B">
        <w:t xml:space="preserve"> </w:t>
      </w:r>
      <w:r>
        <w:t>a účinnosti dnem uveřejnění smlouvy prostřednictvím registru smluv ve smyslu zákona č. 340/2015 Sb., o zvláštních podmínkách účinnosti některých smluv, uveřejňování těchto smluv a o registru smluv (zákon o registru smluv).</w:t>
      </w:r>
    </w:p>
    <w:p w14:paraId="2E121835" w14:textId="1B250FE7" w:rsidR="000B0391" w:rsidRDefault="000B0391" w:rsidP="000F5B1A">
      <w:pPr>
        <w:spacing w:after="240"/>
        <w:jc w:val="both"/>
      </w:pPr>
      <w:r>
        <w:t>(</w:t>
      </w:r>
      <w:r w:rsidR="001F3A7B">
        <w:t>4</w:t>
      </w:r>
      <w:r>
        <w:t>) Smluvní strany výslovně prohlašují, že si tuto smlouvu přečetly, že byla uzavřena po vzájemném projednání a podle jejich pravé a svobodné vůle, což stvrzují svými podpisy.</w:t>
      </w:r>
    </w:p>
    <w:p w14:paraId="0737686C" w14:textId="091D9DB8" w:rsidR="000B0391" w:rsidRDefault="000B0391" w:rsidP="000B0391">
      <w:pPr>
        <w:jc w:val="both"/>
      </w:pPr>
      <w:r>
        <w:t>(</w:t>
      </w:r>
      <w:r w:rsidR="001F3A7B">
        <w:t>5</w:t>
      </w:r>
      <w:r>
        <w:t>) Smlouva je vyhotovena v</w:t>
      </w:r>
      <w:r w:rsidR="002F0EFA">
        <w:t>e čtyřech</w:t>
      </w:r>
      <w:r>
        <w:t xml:space="preserve"> stejnopisech s platností originálu, z nichž dva obdrží prodávající, </w:t>
      </w:r>
      <w:r w:rsidR="002F0EFA">
        <w:t>jeden</w:t>
      </w:r>
      <w:r>
        <w:t xml:space="preserve"> kupující a jeden bude přílohou návrhu na vklad vlastnického práva do katastru nemovitostí.</w:t>
      </w:r>
    </w:p>
    <w:p w14:paraId="1FAA7E0A" w14:textId="77777777" w:rsidR="006F3BCC" w:rsidRDefault="006F3BCC" w:rsidP="006F3BCC">
      <w:pPr>
        <w:jc w:val="both"/>
      </w:pPr>
    </w:p>
    <w:p w14:paraId="1FAA7E0B" w14:textId="2579E8AC" w:rsidR="006F3BCC" w:rsidRDefault="006F3BCC" w:rsidP="006F3BCC">
      <w:pPr>
        <w:jc w:val="center"/>
        <w:rPr>
          <w:b/>
        </w:rPr>
      </w:pPr>
      <w:r>
        <w:rPr>
          <w:b/>
        </w:rPr>
        <w:t xml:space="preserve">Článek </w:t>
      </w:r>
      <w:r w:rsidR="00C5266C">
        <w:rPr>
          <w:b/>
        </w:rPr>
        <w:t>XII</w:t>
      </w:r>
      <w:r w:rsidR="002A52B7">
        <w:rPr>
          <w:b/>
        </w:rPr>
        <w:t>.</w:t>
      </w:r>
    </w:p>
    <w:p w14:paraId="1FAA7E0C" w14:textId="77777777" w:rsidR="00B53F18" w:rsidRDefault="00B53F18" w:rsidP="00894032">
      <w:pPr>
        <w:jc w:val="center"/>
        <w:rPr>
          <w:b/>
        </w:rPr>
      </w:pPr>
      <w:r>
        <w:rPr>
          <w:b/>
        </w:rPr>
        <w:t>Doložka obce</w:t>
      </w:r>
    </w:p>
    <w:p w14:paraId="1FAA7E0D" w14:textId="1E0C0DBF" w:rsidR="008022C6" w:rsidRDefault="008022C6" w:rsidP="008022C6">
      <w:pPr>
        <w:jc w:val="both"/>
      </w:pPr>
      <w:r w:rsidRPr="00C141B0">
        <w:t xml:space="preserve">Touto doložkou se osvědčuje, že byly splněny podmínky platnosti tohoto právního </w:t>
      </w:r>
      <w:r w:rsidR="00A7146B">
        <w:t>jednání</w:t>
      </w:r>
      <w:r w:rsidRPr="00C141B0">
        <w:t xml:space="preserve"> podmíněné zveřejněním záměru převodu jeho vyvěšením na úřední desce obce od </w:t>
      </w:r>
      <w:r w:rsidR="002F0EFA">
        <w:t>13</w:t>
      </w:r>
      <w:r w:rsidR="009B6838">
        <w:t>.</w:t>
      </w:r>
      <w:r w:rsidR="002F0EFA">
        <w:t>9</w:t>
      </w:r>
      <w:r w:rsidR="009B6838">
        <w:t>.202</w:t>
      </w:r>
      <w:r w:rsidR="002F0EFA">
        <w:t>4</w:t>
      </w:r>
      <w:r w:rsidRPr="00C141B0">
        <w:t xml:space="preserve"> do </w:t>
      </w:r>
      <w:r w:rsidR="002F0EFA">
        <w:t>14</w:t>
      </w:r>
      <w:r w:rsidR="009B6838">
        <w:t>.</w:t>
      </w:r>
      <w:r w:rsidR="002F0EFA">
        <w:t>10</w:t>
      </w:r>
      <w:r w:rsidR="009B6838">
        <w:t>.202</w:t>
      </w:r>
      <w:r w:rsidR="002F0EFA">
        <w:t>4</w:t>
      </w:r>
      <w:r w:rsidRPr="00C141B0">
        <w:t xml:space="preserve"> a následným schválením převodu Zastupit</w:t>
      </w:r>
      <w:r>
        <w:t xml:space="preserve">elstvem města Přerova na jeho </w:t>
      </w:r>
      <w:r w:rsidR="0097087D">
        <w:t>15.</w:t>
      </w:r>
      <w:r>
        <w:t xml:space="preserve"> zasedání konaném dne </w:t>
      </w:r>
      <w:r w:rsidR="0097087D">
        <w:t>09.12.2024</w:t>
      </w:r>
      <w:r w:rsidR="00AC64B7">
        <w:t xml:space="preserve"> </w:t>
      </w:r>
      <w:r>
        <w:t>usnesením č.</w:t>
      </w:r>
      <w:r w:rsidR="00AC64B7">
        <w:t xml:space="preserve"> </w:t>
      </w:r>
      <w:r w:rsidR="009A08EF">
        <w:t>550/15/3.2.2/2024</w:t>
      </w:r>
      <w:r w:rsidR="009803BE">
        <w:t>.</w:t>
      </w:r>
    </w:p>
    <w:p w14:paraId="1C35E110" w14:textId="77777777" w:rsidR="002F0EFA" w:rsidRDefault="002F0EFA" w:rsidP="008022C6">
      <w:pPr>
        <w:jc w:val="both"/>
      </w:pPr>
    </w:p>
    <w:p w14:paraId="792D8CA1" w14:textId="77777777" w:rsidR="002F0EFA" w:rsidRPr="00C141B0" w:rsidRDefault="002F0EFA" w:rsidP="008022C6">
      <w:pPr>
        <w:jc w:val="both"/>
      </w:pPr>
    </w:p>
    <w:p w14:paraId="1FAA7E0F" w14:textId="60B5A38B" w:rsidR="008022C6" w:rsidRDefault="008022C6" w:rsidP="00B61943">
      <w:pPr>
        <w:jc w:val="both"/>
      </w:pPr>
    </w:p>
    <w:p w14:paraId="1FAA7E10" w14:textId="0C57F02B" w:rsidR="00B61943" w:rsidRDefault="008022C6" w:rsidP="008022C6">
      <w:pPr>
        <w:jc w:val="both"/>
      </w:pPr>
      <w:r>
        <w:t xml:space="preserve">         </w:t>
      </w:r>
      <w:r w:rsidR="00B61943">
        <w:t xml:space="preserve">V Přerově dne </w:t>
      </w:r>
      <w:r w:rsidR="008E15B4">
        <w:t>17.12.2024</w:t>
      </w:r>
      <w:r>
        <w:t xml:space="preserve">                </w:t>
      </w:r>
      <w:r w:rsidR="00EB3024">
        <w:t xml:space="preserve">           </w:t>
      </w:r>
      <w:r w:rsidR="00B61943">
        <w:t xml:space="preserve">        V Přerově dne </w:t>
      </w:r>
      <w:r w:rsidR="008E15B4">
        <w:t>17.12.2024</w:t>
      </w:r>
    </w:p>
    <w:p w14:paraId="1FAA7E11" w14:textId="77777777" w:rsidR="00B61943" w:rsidRDefault="00B61943" w:rsidP="00B61943">
      <w:pPr>
        <w:jc w:val="both"/>
      </w:pPr>
    </w:p>
    <w:p w14:paraId="33B981AB" w14:textId="77777777" w:rsidR="002F0EFA" w:rsidRDefault="002F0EFA" w:rsidP="00B61943">
      <w:pPr>
        <w:jc w:val="both"/>
      </w:pPr>
    </w:p>
    <w:p w14:paraId="1FAA7E13" w14:textId="77777777" w:rsidR="008022C6" w:rsidRDefault="008022C6" w:rsidP="00B61943">
      <w:pPr>
        <w:jc w:val="both"/>
      </w:pPr>
    </w:p>
    <w:p w14:paraId="1FAA7E14" w14:textId="61D7CA6F" w:rsidR="00B61943" w:rsidRDefault="00B61943" w:rsidP="00B61943">
      <w:pPr>
        <w:jc w:val="both"/>
      </w:pPr>
      <w:r>
        <w:t xml:space="preserve">    </w:t>
      </w:r>
    </w:p>
    <w:p w14:paraId="2B3992BD" w14:textId="77777777" w:rsidR="00BD72AB" w:rsidRDefault="00BD72AB" w:rsidP="00B61943">
      <w:pPr>
        <w:jc w:val="both"/>
      </w:pPr>
    </w:p>
    <w:p w14:paraId="1FAA7E15" w14:textId="764364EA" w:rsidR="00B61943" w:rsidRDefault="00B61943" w:rsidP="00B61943">
      <w:pPr>
        <w:jc w:val="both"/>
      </w:pPr>
      <w:r>
        <w:t xml:space="preserve">         </w:t>
      </w:r>
    </w:p>
    <w:p w14:paraId="1FAA7E1E" w14:textId="5D61CC18" w:rsidR="00FE5ECA" w:rsidRPr="002F0EFA" w:rsidRDefault="00B61943" w:rsidP="002F0EFA">
      <w:pPr>
        <w:ind w:left="708" w:hanging="708"/>
        <w:rPr>
          <w:b/>
          <w:bCs/>
        </w:rPr>
      </w:pPr>
      <w:r>
        <w:t xml:space="preserve">        </w:t>
      </w:r>
      <w:r>
        <w:tab/>
      </w:r>
      <w:r w:rsidR="002F0EFA" w:rsidRPr="002F0EFA">
        <w:rPr>
          <w:b/>
          <w:bCs/>
        </w:rPr>
        <w:t>Ing. Miloslav Dohnal</w:t>
      </w:r>
      <w:r w:rsidR="002F0EFA" w:rsidRPr="002F0EFA">
        <w:rPr>
          <w:b/>
          <w:bCs/>
        </w:rPr>
        <w:tab/>
      </w:r>
      <w:r w:rsidR="002F0EFA" w:rsidRPr="002F0EFA">
        <w:rPr>
          <w:b/>
          <w:bCs/>
        </w:rPr>
        <w:tab/>
      </w:r>
      <w:r w:rsidR="002F0EFA" w:rsidRPr="002F0EFA">
        <w:rPr>
          <w:b/>
          <w:bCs/>
        </w:rPr>
        <w:tab/>
      </w:r>
      <w:r w:rsidR="002F0EFA" w:rsidRPr="002F0EFA">
        <w:rPr>
          <w:b/>
          <w:bCs/>
        </w:rPr>
        <w:tab/>
      </w:r>
      <w:r w:rsidR="002F0EFA">
        <w:rPr>
          <w:b/>
          <w:bCs/>
        </w:rPr>
        <w:t xml:space="preserve">  </w:t>
      </w:r>
      <w:r w:rsidR="002F0EFA" w:rsidRPr="002F0EFA">
        <w:rPr>
          <w:b/>
          <w:bCs/>
        </w:rPr>
        <w:t>Štěpán Vilímek</w:t>
      </w:r>
    </w:p>
    <w:p w14:paraId="49A0C941" w14:textId="0199A6A7" w:rsidR="002F0EFA" w:rsidRPr="00FE5ECA" w:rsidRDefault="002F0EFA" w:rsidP="002F0EFA">
      <w:pPr>
        <w:ind w:left="708" w:hanging="708"/>
      </w:pPr>
      <w:r>
        <w:t xml:space="preserve">              náměstek primátora</w:t>
      </w:r>
    </w:p>
    <w:sectPr w:rsidR="002F0EFA" w:rsidRPr="00FE5ECA" w:rsidSect="00A10A6C">
      <w:headerReference w:type="default" r:id="rId10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897D" w14:textId="77777777" w:rsidR="00EA4E70" w:rsidRDefault="00EA4E70" w:rsidP="001A7502">
      <w:r>
        <w:separator/>
      </w:r>
    </w:p>
  </w:endnote>
  <w:endnote w:type="continuationSeparator" w:id="0">
    <w:p w14:paraId="4DB43E28" w14:textId="77777777" w:rsidR="00EA4E70" w:rsidRDefault="00EA4E70" w:rsidP="001A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3409" w14:textId="77777777" w:rsidR="00EA4E70" w:rsidRDefault="00EA4E70" w:rsidP="001A7502">
      <w:r>
        <w:separator/>
      </w:r>
    </w:p>
  </w:footnote>
  <w:footnote w:type="continuationSeparator" w:id="0">
    <w:p w14:paraId="6E88F83F" w14:textId="77777777" w:rsidR="00EA4E70" w:rsidRDefault="00EA4E70" w:rsidP="001A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7E23" w14:textId="77777777" w:rsidR="00286E87" w:rsidRDefault="00286E87" w:rsidP="008022C6">
    <w:pPr>
      <w:pStyle w:val="Zhlav"/>
      <w:jc w:val="right"/>
    </w:pPr>
  </w:p>
  <w:p w14:paraId="1FAA7E24" w14:textId="65E175E5" w:rsidR="00286E87" w:rsidRDefault="00286E87" w:rsidP="008022C6">
    <w:pPr>
      <w:pStyle w:val="Zhlav"/>
      <w:jc w:val="right"/>
    </w:pPr>
    <w:r>
      <w:t>MMPr/SML/</w:t>
    </w:r>
    <w:r w:rsidR="0019344D">
      <w:t>2085</w:t>
    </w:r>
    <w:r>
      <w:t>/202</w:t>
    </w:r>
    <w:r w:rsidR="0074049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4679"/>
    <w:multiLevelType w:val="hybridMultilevel"/>
    <w:tmpl w:val="3336EF28"/>
    <w:lvl w:ilvl="0" w:tplc="A36CE7C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D0D"/>
    <w:multiLevelType w:val="hybridMultilevel"/>
    <w:tmpl w:val="1348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15FB"/>
    <w:multiLevelType w:val="hybridMultilevel"/>
    <w:tmpl w:val="BD2CC0DA"/>
    <w:lvl w:ilvl="0" w:tplc="8D9C1D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8574E"/>
    <w:multiLevelType w:val="hybridMultilevel"/>
    <w:tmpl w:val="913C3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B20B5"/>
    <w:multiLevelType w:val="hybridMultilevel"/>
    <w:tmpl w:val="A8880BA8"/>
    <w:lvl w:ilvl="0" w:tplc="87CABB3A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ED3803"/>
    <w:multiLevelType w:val="hybridMultilevel"/>
    <w:tmpl w:val="78607A70"/>
    <w:lvl w:ilvl="0" w:tplc="CD4EA23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5932"/>
    <w:multiLevelType w:val="hybridMultilevel"/>
    <w:tmpl w:val="FE6C036A"/>
    <w:lvl w:ilvl="0" w:tplc="6262ACA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A7565"/>
    <w:multiLevelType w:val="hybridMultilevel"/>
    <w:tmpl w:val="D7824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4896"/>
    <w:multiLevelType w:val="hybridMultilevel"/>
    <w:tmpl w:val="9F3EA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9116F"/>
    <w:multiLevelType w:val="hybridMultilevel"/>
    <w:tmpl w:val="B02859E8"/>
    <w:lvl w:ilvl="0" w:tplc="1E46E2E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07D55"/>
    <w:multiLevelType w:val="hybridMultilevel"/>
    <w:tmpl w:val="E33886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D6756D"/>
    <w:multiLevelType w:val="hybridMultilevel"/>
    <w:tmpl w:val="D6A65CFE"/>
    <w:lvl w:ilvl="0" w:tplc="27C8834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507EB"/>
    <w:multiLevelType w:val="hybridMultilevel"/>
    <w:tmpl w:val="F9909CC4"/>
    <w:lvl w:ilvl="0" w:tplc="5EE6F080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8887010"/>
    <w:multiLevelType w:val="hybridMultilevel"/>
    <w:tmpl w:val="C024DCD2"/>
    <w:lvl w:ilvl="0" w:tplc="3ACC337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D396C"/>
    <w:multiLevelType w:val="hybridMultilevel"/>
    <w:tmpl w:val="18BE7A38"/>
    <w:lvl w:ilvl="0" w:tplc="109229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F6190"/>
    <w:multiLevelType w:val="hybridMultilevel"/>
    <w:tmpl w:val="F59289AC"/>
    <w:lvl w:ilvl="0" w:tplc="A46C31A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C786A05"/>
    <w:multiLevelType w:val="hybridMultilevel"/>
    <w:tmpl w:val="370E850C"/>
    <w:lvl w:ilvl="0" w:tplc="35288A1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0538A"/>
    <w:multiLevelType w:val="hybridMultilevel"/>
    <w:tmpl w:val="0EE25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88112">
    <w:abstractNumId w:val="4"/>
  </w:num>
  <w:num w:numId="2" w16cid:durableId="384255338">
    <w:abstractNumId w:val="10"/>
  </w:num>
  <w:num w:numId="3" w16cid:durableId="1432816976">
    <w:abstractNumId w:val="2"/>
  </w:num>
  <w:num w:numId="4" w16cid:durableId="1907954601">
    <w:abstractNumId w:val="14"/>
  </w:num>
  <w:num w:numId="5" w16cid:durableId="1830444640">
    <w:abstractNumId w:val="11"/>
  </w:num>
  <w:num w:numId="6" w16cid:durableId="1600139973">
    <w:abstractNumId w:val="16"/>
  </w:num>
  <w:num w:numId="7" w16cid:durableId="35857065">
    <w:abstractNumId w:val="5"/>
  </w:num>
  <w:num w:numId="8" w16cid:durableId="418601396">
    <w:abstractNumId w:val="0"/>
  </w:num>
  <w:num w:numId="9" w16cid:durableId="2131851356">
    <w:abstractNumId w:val="13"/>
  </w:num>
  <w:num w:numId="10" w16cid:durableId="416054846">
    <w:abstractNumId w:val="6"/>
  </w:num>
  <w:num w:numId="11" w16cid:durableId="2042437265">
    <w:abstractNumId w:val="9"/>
  </w:num>
  <w:num w:numId="12" w16cid:durableId="228805053">
    <w:abstractNumId w:val="15"/>
  </w:num>
  <w:num w:numId="13" w16cid:durableId="1161500834">
    <w:abstractNumId w:val="7"/>
  </w:num>
  <w:num w:numId="14" w16cid:durableId="694113451">
    <w:abstractNumId w:val="8"/>
  </w:num>
  <w:num w:numId="15" w16cid:durableId="2071490791">
    <w:abstractNumId w:val="12"/>
  </w:num>
  <w:num w:numId="16" w16cid:durableId="103841043">
    <w:abstractNumId w:val="3"/>
  </w:num>
  <w:num w:numId="17" w16cid:durableId="857281177">
    <w:abstractNumId w:val="17"/>
  </w:num>
  <w:num w:numId="18" w16cid:durableId="59069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F"/>
    <w:rsid w:val="000060EF"/>
    <w:rsid w:val="00010996"/>
    <w:rsid w:val="00014F2E"/>
    <w:rsid w:val="00022755"/>
    <w:rsid w:val="00026BF1"/>
    <w:rsid w:val="0003468E"/>
    <w:rsid w:val="00036CB0"/>
    <w:rsid w:val="000379F5"/>
    <w:rsid w:val="0004077D"/>
    <w:rsid w:val="00042CB4"/>
    <w:rsid w:val="000713FC"/>
    <w:rsid w:val="00080329"/>
    <w:rsid w:val="0008364B"/>
    <w:rsid w:val="00083936"/>
    <w:rsid w:val="0009067A"/>
    <w:rsid w:val="000958FA"/>
    <w:rsid w:val="000A6327"/>
    <w:rsid w:val="000B0391"/>
    <w:rsid w:val="000B1F7A"/>
    <w:rsid w:val="000B3799"/>
    <w:rsid w:val="000B4663"/>
    <w:rsid w:val="000B50B6"/>
    <w:rsid w:val="000B5FE4"/>
    <w:rsid w:val="000C1201"/>
    <w:rsid w:val="000C1BC0"/>
    <w:rsid w:val="000D0398"/>
    <w:rsid w:val="000D2F44"/>
    <w:rsid w:val="000D7EF2"/>
    <w:rsid w:val="000E3E51"/>
    <w:rsid w:val="000E44F4"/>
    <w:rsid w:val="000E5DDF"/>
    <w:rsid w:val="000E6861"/>
    <w:rsid w:val="000F057F"/>
    <w:rsid w:val="000F32B6"/>
    <w:rsid w:val="000F5B1A"/>
    <w:rsid w:val="000F5D11"/>
    <w:rsid w:val="00100D14"/>
    <w:rsid w:val="00102A6F"/>
    <w:rsid w:val="00102D02"/>
    <w:rsid w:val="00103C1B"/>
    <w:rsid w:val="00104449"/>
    <w:rsid w:val="001047FE"/>
    <w:rsid w:val="001123B9"/>
    <w:rsid w:val="00114D7D"/>
    <w:rsid w:val="00116102"/>
    <w:rsid w:val="00125D77"/>
    <w:rsid w:val="001300A3"/>
    <w:rsid w:val="001312CE"/>
    <w:rsid w:val="00135DF4"/>
    <w:rsid w:val="001368FA"/>
    <w:rsid w:val="00143BAF"/>
    <w:rsid w:val="00150203"/>
    <w:rsid w:val="00156BE4"/>
    <w:rsid w:val="0016087F"/>
    <w:rsid w:val="00160D45"/>
    <w:rsid w:val="001639F4"/>
    <w:rsid w:val="00166E25"/>
    <w:rsid w:val="001731E6"/>
    <w:rsid w:val="00177EB8"/>
    <w:rsid w:val="00182376"/>
    <w:rsid w:val="0018647B"/>
    <w:rsid w:val="0019101F"/>
    <w:rsid w:val="0019344D"/>
    <w:rsid w:val="00193B0A"/>
    <w:rsid w:val="0019562C"/>
    <w:rsid w:val="00196D78"/>
    <w:rsid w:val="001A442F"/>
    <w:rsid w:val="001A6FEE"/>
    <w:rsid w:val="001A7502"/>
    <w:rsid w:val="001B2AFA"/>
    <w:rsid w:val="001B614E"/>
    <w:rsid w:val="001B6CDD"/>
    <w:rsid w:val="001D0861"/>
    <w:rsid w:val="001D29E1"/>
    <w:rsid w:val="001D34B9"/>
    <w:rsid w:val="001D43EC"/>
    <w:rsid w:val="001D510E"/>
    <w:rsid w:val="001D6A72"/>
    <w:rsid w:val="001E2799"/>
    <w:rsid w:val="001E5024"/>
    <w:rsid w:val="001E6BAB"/>
    <w:rsid w:val="001E75CB"/>
    <w:rsid w:val="001F3A7B"/>
    <w:rsid w:val="001F5402"/>
    <w:rsid w:val="001F5491"/>
    <w:rsid w:val="001F69B7"/>
    <w:rsid w:val="001F777E"/>
    <w:rsid w:val="0020024F"/>
    <w:rsid w:val="00200C67"/>
    <w:rsid w:val="00203119"/>
    <w:rsid w:val="00205BCE"/>
    <w:rsid w:val="00206B66"/>
    <w:rsid w:val="00207212"/>
    <w:rsid w:val="0021135A"/>
    <w:rsid w:val="00212395"/>
    <w:rsid w:val="002130BB"/>
    <w:rsid w:val="00214379"/>
    <w:rsid w:val="0021797F"/>
    <w:rsid w:val="002208BA"/>
    <w:rsid w:val="00221FB1"/>
    <w:rsid w:val="00230225"/>
    <w:rsid w:val="00232039"/>
    <w:rsid w:val="00236FE5"/>
    <w:rsid w:val="00240B7D"/>
    <w:rsid w:val="0024448A"/>
    <w:rsid w:val="00247E73"/>
    <w:rsid w:val="002539A1"/>
    <w:rsid w:val="00257051"/>
    <w:rsid w:val="00265AB1"/>
    <w:rsid w:val="00272AF8"/>
    <w:rsid w:val="002743B8"/>
    <w:rsid w:val="002835A2"/>
    <w:rsid w:val="00286E87"/>
    <w:rsid w:val="00287C75"/>
    <w:rsid w:val="00290F71"/>
    <w:rsid w:val="002936A9"/>
    <w:rsid w:val="00297357"/>
    <w:rsid w:val="002A125A"/>
    <w:rsid w:val="002A38F9"/>
    <w:rsid w:val="002A52B7"/>
    <w:rsid w:val="002B16F6"/>
    <w:rsid w:val="002B27FE"/>
    <w:rsid w:val="002C0995"/>
    <w:rsid w:val="002C276F"/>
    <w:rsid w:val="002C56E5"/>
    <w:rsid w:val="002D2578"/>
    <w:rsid w:val="002D3356"/>
    <w:rsid w:val="002D38C1"/>
    <w:rsid w:val="002D6FE7"/>
    <w:rsid w:val="002E51D7"/>
    <w:rsid w:val="002F0EFA"/>
    <w:rsid w:val="002F4EF4"/>
    <w:rsid w:val="002F5A81"/>
    <w:rsid w:val="002F63F6"/>
    <w:rsid w:val="00300EE8"/>
    <w:rsid w:val="003038B2"/>
    <w:rsid w:val="00304520"/>
    <w:rsid w:val="003109DA"/>
    <w:rsid w:val="00316624"/>
    <w:rsid w:val="0034324B"/>
    <w:rsid w:val="00353262"/>
    <w:rsid w:val="003612DA"/>
    <w:rsid w:val="003616B7"/>
    <w:rsid w:val="00364BEF"/>
    <w:rsid w:val="00370BB2"/>
    <w:rsid w:val="003711C6"/>
    <w:rsid w:val="0037386C"/>
    <w:rsid w:val="00383300"/>
    <w:rsid w:val="003853C6"/>
    <w:rsid w:val="003A463F"/>
    <w:rsid w:val="003A75E2"/>
    <w:rsid w:val="003B386E"/>
    <w:rsid w:val="003C11C0"/>
    <w:rsid w:val="003C5369"/>
    <w:rsid w:val="003C77A8"/>
    <w:rsid w:val="003D34F6"/>
    <w:rsid w:val="003D389F"/>
    <w:rsid w:val="003D64E2"/>
    <w:rsid w:val="003E483A"/>
    <w:rsid w:val="003E4AEA"/>
    <w:rsid w:val="003F0C71"/>
    <w:rsid w:val="003F2B66"/>
    <w:rsid w:val="003F6CF8"/>
    <w:rsid w:val="004000AE"/>
    <w:rsid w:val="00401A1C"/>
    <w:rsid w:val="00401E5D"/>
    <w:rsid w:val="0041240B"/>
    <w:rsid w:val="00412FB1"/>
    <w:rsid w:val="0042230F"/>
    <w:rsid w:val="004241C1"/>
    <w:rsid w:val="00430178"/>
    <w:rsid w:val="00431D87"/>
    <w:rsid w:val="00437EE2"/>
    <w:rsid w:val="00441B30"/>
    <w:rsid w:val="004425D7"/>
    <w:rsid w:val="004448F4"/>
    <w:rsid w:val="00445FDB"/>
    <w:rsid w:val="0045054C"/>
    <w:rsid w:val="00450FD0"/>
    <w:rsid w:val="00455B76"/>
    <w:rsid w:val="00464415"/>
    <w:rsid w:val="0046492D"/>
    <w:rsid w:val="004656F0"/>
    <w:rsid w:val="004679D5"/>
    <w:rsid w:val="0047550B"/>
    <w:rsid w:val="0048026F"/>
    <w:rsid w:val="00482CC5"/>
    <w:rsid w:val="004867D4"/>
    <w:rsid w:val="00487089"/>
    <w:rsid w:val="00492E8F"/>
    <w:rsid w:val="00497AE9"/>
    <w:rsid w:val="004A3D31"/>
    <w:rsid w:val="004B042D"/>
    <w:rsid w:val="004B2127"/>
    <w:rsid w:val="004B3F20"/>
    <w:rsid w:val="004B5208"/>
    <w:rsid w:val="004C0A69"/>
    <w:rsid w:val="004C19D3"/>
    <w:rsid w:val="004C3AF3"/>
    <w:rsid w:val="004D07BA"/>
    <w:rsid w:val="004D0B05"/>
    <w:rsid w:val="004D243B"/>
    <w:rsid w:val="004D2DCD"/>
    <w:rsid w:val="004D643A"/>
    <w:rsid w:val="004E053F"/>
    <w:rsid w:val="004E53AF"/>
    <w:rsid w:val="004E6C39"/>
    <w:rsid w:val="004F4F5E"/>
    <w:rsid w:val="005038C1"/>
    <w:rsid w:val="00520813"/>
    <w:rsid w:val="00521360"/>
    <w:rsid w:val="0052184C"/>
    <w:rsid w:val="00522C91"/>
    <w:rsid w:val="00525160"/>
    <w:rsid w:val="005272B1"/>
    <w:rsid w:val="00532E6B"/>
    <w:rsid w:val="0053426D"/>
    <w:rsid w:val="005366BF"/>
    <w:rsid w:val="005447D2"/>
    <w:rsid w:val="0054510F"/>
    <w:rsid w:val="0055589F"/>
    <w:rsid w:val="005633B2"/>
    <w:rsid w:val="005667D2"/>
    <w:rsid w:val="00571AD3"/>
    <w:rsid w:val="00575957"/>
    <w:rsid w:val="00584AC5"/>
    <w:rsid w:val="00593CC8"/>
    <w:rsid w:val="005949BF"/>
    <w:rsid w:val="005A174C"/>
    <w:rsid w:val="005A6050"/>
    <w:rsid w:val="005B48BB"/>
    <w:rsid w:val="005B63F0"/>
    <w:rsid w:val="005B67DC"/>
    <w:rsid w:val="005C5DF3"/>
    <w:rsid w:val="005C6ECF"/>
    <w:rsid w:val="005D146D"/>
    <w:rsid w:val="005E0963"/>
    <w:rsid w:val="005E6923"/>
    <w:rsid w:val="005E7AC5"/>
    <w:rsid w:val="006035EE"/>
    <w:rsid w:val="0061135F"/>
    <w:rsid w:val="00612D52"/>
    <w:rsid w:val="00613225"/>
    <w:rsid w:val="00613315"/>
    <w:rsid w:val="00614B1A"/>
    <w:rsid w:val="00631907"/>
    <w:rsid w:val="00641984"/>
    <w:rsid w:val="00654433"/>
    <w:rsid w:val="006557C1"/>
    <w:rsid w:val="006607A8"/>
    <w:rsid w:val="00661AE2"/>
    <w:rsid w:val="00663964"/>
    <w:rsid w:val="00665363"/>
    <w:rsid w:val="00666D66"/>
    <w:rsid w:val="00666D70"/>
    <w:rsid w:val="006670FF"/>
    <w:rsid w:val="006739C1"/>
    <w:rsid w:val="0067609A"/>
    <w:rsid w:val="00683E65"/>
    <w:rsid w:val="00684F2C"/>
    <w:rsid w:val="00686762"/>
    <w:rsid w:val="00687873"/>
    <w:rsid w:val="0069052B"/>
    <w:rsid w:val="00695307"/>
    <w:rsid w:val="00696427"/>
    <w:rsid w:val="006A211A"/>
    <w:rsid w:val="006A4C85"/>
    <w:rsid w:val="006B10E9"/>
    <w:rsid w:val="006B5AEC"/>
    <w:rsid w:val="006C6BBF"/>
    <w:rsid w:val="006D611C"/>
    <w:rsid w:val="006D68D2"/>
    <w:rsid w:val="006E0BB8"/>
    <w:rsid w:val="006E29D0"/>
    <w:rsid w:val="006E537F"/>
    <w:rsid w:val="006E5BB9"/>
    <w:rsid w:val="006E7FDA"/>
    <w:rsid w:val="006F0C3B"/>
    <w:rsid w:val="006F3BCC"/>
    <w:rsid w:val="007000B0"/>
    <w:rsid w:val="007040E3"/>
    <w:rsid w:val="00707BE5"/>
    <w:rsid w:val="00715C4D"/>
    <w:rsid w:val="007160ED"/>
    <w:rsid w:val="007222D2"/>
    <w:rsid w:val="00722C10"/>
    <w:rsid w:val="0072405D"/>
    <w:rsid w:val="00726DBB"/>
    <w:rsid w:val="0073063C"/>
    <w:rsid w:val="007372B6"/>
    <w:rsid w:val="00737AA5"/>
    <w:rsid w:val="00740493"/>
    <w:rsid w:val="007406EB"/>
    <w:rsid w:val="0075088C"/>
    <w:rsid w:val="007508F7"/>
    <w:rsid w:val="007532A7"/>
    <w:rsid w:val="00762C91"/>
    <w:rsid w:val="00766EB0"/>
    <w:rsid w:val="00770330"/>
    <w:rsid w:val="007775C3"/>
    <w:rsid w:val="00780803"/>
    <w:rsid w:val="00781A6E"/>
    <w:rsid w:val="00783EC8"/>
    <w:rsid w:val="00785153"/>
    <w:rsid w:val="00785A82"/>
    <w:rsid w:val="00785D1C"/>
    <w:rsid w:val="007A0387"/>
    <w:rsid w:val="007A14D4"/>
    <w:rsid w:val="007A6E62"/>
    <w:rsid w:val="007A7A6B"/>
    <w:rsid w:val="007B2CC7"/>
    <w:rsid w:val="007B34D6"/>
    <w:rsid w:val="007B6209"/>
    <w:rsid w:val="007C121C"/>
    <w:rsid w:val="007C2CDB"/>
    <w:rsid w:val="007C301E"/>
    <w:rsid w:val="007C415B"/>
    <w:rsid w:val="007C506E"/>
    <w:rsid w:val="007D7921"/>
    <w:rsid w:val="007E20A6"/>
    <w:rsid w:val="007E4C06"/>
    <w:rsid w:val="007E5C5E"/>
    <w:rsid w:val="007F0745"/>
    <w:rsid w:val="007F2E23"/>
    <w:rsid w:val="007F41FC"/>
    <w:rsid w:val="008022C6"/>
    <w:rsid w:val="00802B9D"/>
    <w:rsid w:val="00803EF6"/>
    <w:rsid w:val="008059A6"/>
    <w:rsid w:val="00805CB9"/>
    <w:rsid w:val="00806A14"/>
    <w:rsid w:val="00820013"/>
    <w:rsid w:val="0082132A"/>
    <w:rsid w:val="00831D16"/>
    <w:rsid w:val="00833680"/>
    <w:rsid w:val="00833A88"/>
    <w:rsid w:val="0083528C"/>
    <w:rsid w:val="00837CC6"/>
    <w:rsid w:val="00840457"/>
    <w:rsid w:val="008412E4"/>
    <w:rsid w:val="0084229F"/>
    <w:rsid w:val="008457E8"/>
    <w:rsid w:val="0084687C"/>
    <w:rsid w:val="00847761"/>
    <w:rsid w:val="0085015E"/>
    <w:rsid w:val="0085183C"/>
    <w:rsid w:val="00855F67"/>
    <w:rsid w:val="00856BC6"/>
    <w:rsid w:val="00857770"/>
    <w:rsid w:val="0086008F"/>
    <w:rsid w:val="0086641C"/>
    <w:rsid w:val="00870268"/>
    <w:rsid w:val="008873CE"/>
    <w:rsid w:val="00894032"/>
    <w:rsid w:val="00895227"/>
    <w:rsid w:val="008A29E0"/>
    <w:rsid w:val="008A4FD9"/>
    <w:rsid w:val="008B2D44"/>
    <w:rsid w:val="008D0D11"/>
    <w:rsid w:val="008D3E5E"/>
    <w:rsid w:val="008D760D"/>
    <w:rsid w:val="008E0FE7"/>
    <w:rsid w:val="008E15B4"/>
    <w:rsid w:val="008E3D14"/>
    <w:rsid w:val="008E508D"/>
    <w:rsid w:val="008E6F43"/>
    <w:rsid w:val="008F150A"/>
    <w:rsid w:val="008F175B"/>
    <w:rsid w:val="008F1E7F"/>
    <w:rsid w:val="008F7F37"/>
    <w:rsid w:val="00900B56"/>
    <w:rsid w:val="00903644"/>
    <w:rsid w:val="00906D2B"/>
    <w:rsid w:val="0091017E"/>
    <w:rsid w:val="009132B9"/>
    <w:rsid w:val="00914C8A"/>
    <w:rsid w:val="00924356"/>
    <w:rsid w:val="00931377"/>
    <w:rsid w:val="009338E6"/>
    <w:rsid w:val="009373A5"/>
    <w:rsid w:val="00941913"/>
    <w:rsid w:val="00942518"/>
    <w:rsid w:val="00942D47"/>
    <w:rsid w:val="00943D86"/>
    <w:rsid w:val="0094484D"/>
    <w:rsid w:val="00950E50"/>
    <w:rsid w:val="009554DC"/>
    <w:rsid w:val="00956327"/>
    <w:rsid w:val="00961EF8"/>
    <w:rsid w:val="00970660"/>
    <w:rsid w:val="0097087D"/>
    <w:rsid w:val="00971D05"/>
    <w:rsid w:val="00971D9F"/>
    <w:rsid w:val="009744B4"/>
    <w:rsid w:val="00975E91"/>
    <w:rsid w:val="009772B3"/>
    <w:rsid w:val="0097772D"/>
    <w:rsid w:val="009803BE"/>
    <w:rsid w:val="0098048C"/>
    <w:rsid w:val="009865C9"/>
    <w:rsid w:val="00991686"/>
    <w:rsid w:val="009A08EF"/>
    <w:rsid w:val="009A23B5"/>
    <w:rsid w:val="009A4E95"/>
    <w:rsid w:val="009B0065"/>
    <w:rsid w:val="009B2102"/>
    <w:rsid w:val="009B581D"/>
    <w:rsid w:val="009B6838"/>
    <w:rsid w:val="009C01CF"/>
    <w:rsid w:val="009C237A"/>
    <w:rsid w:val="009C35A1"/>
    <w:rsid w:val="009C379E"/>
    <w:rsid w:val="009C4A37"/>
    <w:rsid w:val="009C5351"/>
    <w:rsid w:val="009C71B2"/>
    <w:rsid w:val="009C7896"/>
    <w:rsid w:val="009C78DB"/>
    <w:rsid w:val="009D244B"/>
    <w:rsid w:val="009D32CC"/>
    <w:rsid w:val="009D37B6"/>
    <w:rsid w:val="009D3A2A"/>
    <w:rsid w:val="009D5BB4"/>
    <w:rsid w:val="009D655E"/>
    <w:rsid w:val="009D7494"/>
    <w:rsid w:val="009E057B"/>
    <w:rsid w:val="009F2B48"/>
    <w:rsid w:val="009F7352"/>
    <w:rsid w:val="009F7C67"/>
    <w:rsid w:val="00A00DAB"/>
    <w:rsid w:val="00A01B07"/>
    <w:rsid w:val="00A03FE5"/>
    <w:rsid w:val="00A10A6C"/>
    <w:rsid w:val="00A10D75"/>
    <w:rsid w:val="00A134B9"/>
    <w:rsid w:val="00A15046"/>
    <w:rsid w:val="00A165CA"/>
    <w:rsid w:val="00A17CE6"/>
    <w:rsid w:val="00A20F34"/>
    <w:rsid w:val="00A21CD4"/>
    <w:rsid w:val="00A220C7"/>
    <w:rsid w:val="00A31B3B"/>
    <w:rsid w:val="00A3439F"/>
    <w:rsid w:val="00A43852"/>
    <w:rsid w:val="00A506DD"/>
    <w:rsid w:val="00A50B23"/>
    <w:rsid w:val="00A52CB7"/>
    <w:rsid w:val="00A63DAE"/>
    <w:rsid w:val="00A667F0"/>
    <w:rsid w:val="00A7146B"/>
    <w:rsid w:val="00A724A6"/>
    <w:rsid w:val="00A74461"/>
    <w:rsid w:val="00A846EF"/>
    <w:rsid w:val="00A855FD"/>
    <w:rsid w:val="00A86234"/>
    <w:rsid w:val="00A87101"/>
    <w:rsid w:val="00A94C9D"/>
    <w:rsid w:val="00A95A25"/>
    <w:rsid w:val="00A97DA1"/>
    <w:rsid w:val="00AA2F01"/>
    <w:rsid w:val="00AB1FCB"/>
    <w:rsid w:val="00AC64B7"/>
    <w:rsid w:val="00AE2A45"/>
    <w:rsid w:val="00AE3FCE"/>
    <w:rsid w:val="00AF0A51"/>
    <w:rsid w:val="00AF5C98"/>
    <w:rsid w:val="00B00658"/>
    <w:rsid w:val="00B12669"/>
    <w:rsid w:val="00B2084B"/>
    <w:rsid w:val="00B22ABC"/>
    <w:rsid w:val="00B239E3"/>
    <w:rsid w:val="00B23E2E"/>
    <w:rsid w:val="00B259D0"/>
    <w:rsid w:val="00B27A57"/>
    <w:rsid w:val="00B27CD7"/>
    <w:rsid w:val="00B5129C"/>
    <w:rsid w:val="00B52F90"/>
    <w:rsid w:val="00B53DE0"/>
    <w:rsid w:val="00B53F18"/>
    <w:rsid w:val="00B571A6"/>
    <w:rsid w:val="00B61943"/>
    <w:rsid w:val="00B62440"/>
    <w:rsid w:val="00B65860"/>
    <w:rsid w:val="00B66019"/>
    <w:rsid w:val="00B74284"/>
    <w:rsid w:val="00B83AE9"/>
    <w:rsid w:val="00B94AF7"/>
    <w:rsid w:val="00BA290E"/>
    <w:rsid w:val="00BA5014"/>
    <w:rsid w:val="00BA5B82"/>
    <w:rsid w:val="00BA641A"/>
    <w:rsid w:val="00BA6D3D"/>
    <w:rsid w:val="00BA7BDC"/>
    <w:rsid w:val="00BB0069"/>
    <w:rsid w:val="00BB6974"/>
    <w:rsid w:val="00BC15E4"/>
    <w:rsid w:val="00BC1775"/>
    <w:rsid w:val="00BC24A3"/>
    <w:rsid w:val="00BC2DB8"/>
    <w:rsid w:val="00BC34DA"/>
    <w:rsid w:val="00BC5F74"/>
    <w:rsid w:val="00BD23A8"/>
    <w:rsid w:val="00BD33A4"/>
    <w:rsid w:val="00BD3539"/>
    <w:rsid w:val="00BD4953"/>
    <w:rsid w:val="00BD72AB"/>
    <w:rsid w:val="00BD74A2"/>
    <w:rsid w:val="00BE22B4"/>
    <w:rsid w:val="00BE7471"/>
    <w:rsid w:val="00BF0B72"/>
    <w:rsid w:val="00BF4E8D"/>
    <w:rsid w:val="00C026E5"/>
    <w:rsid w:val="00C038F7"/>
    <w:rsid w:val="00C062B6"/>
    <w:rsid w:val="00C109F9"/>
    <w:rsid w:val="00C11F00"/>
    <w:rsid w:val="00C149A5"/>
    <w:rsid w:val="00C207B0"/>
    <w:rsid w:val="00C219FB"/>
    <w:rsid w:val="00C21A55"/>
    <w:rsid w:val="00C2342B"/>
    <w:rsid w:val="00C234DD"/>
    <w:rsid w:val="00C25188"/>
    <w:rsid w:val="00C26344"/>
    <w:rsid w:val="00C3694E"/>
    <w:rsid w:val="00C375C7"/>
    <w:rsid w:val="00C443C3"/>
    <w:rsid w:val="00C45534"/>
    <w:rsid w:val="00C45DD7"/>
    <w:rsid w:val="00C51F1D"/>
    <w:rsid w:val="00C5266C"/>
    <w:rsid w:val="00C54110"/>
    <w:rsid w:val="00C60093"/>
    <w:rsid w:val="00C60D4E"/>
    <w:rsid w:val="00C615CE"/>
    <w:rsid w:val="00C70C6F"/>
    <w:rsid w:val="00C71648"/>
    <w:rsid w:val="00C732CE"/>
    <w:rsid w:val="00C75C7C"/>
    <w:rsid w:val="00C77431"/>
    <w:rsid w:val="00C82E2F"/>
    <w:rsid w:val="00C82E7B"/>
    <w:rsid w:val="00C835FC"/>
    <w:rsid w:val="00C862C3"/>
    <w:rsid w:val="00C86D0A"/>
    <w:rsid w:val="00C926F4"/>
    <w:rsid w:val="00C94F8E"/>
    <w:rsid w:val="00CA07B6"/>
    <w:rsid w:val="00CA1D28"/>
    <w:rsid w:val="00CA2D1E"/>
    <w:rsid w:val="00CA4440"/>
    <w:rsid w:val="00CB0228"/>
    <w:rsid w:val="00CB4DD6"/>
    <w:rsid w:val="00CC5EEA"/>
    <w:rsid w:val="00CC71AF"/>
    <w:rsid w:val="00CD63E1"/>
    <w:rsid w:val="00CD64D7"/>
    <w:rsid w:val="00CE0C65"/>
    <w:rsid w:val="00CE434F"/>
    <w:rsid w:val="00CF087B"/>
    <w:rsid w:val="00CF2421"/>
    <w:rsid w:val="00CF4081"/>
    <w:rsid w:val="00CF5CD3"/>
    <w:rsid w:val="00D02263"/>
    <w:rsid w:val="00D17A91"/>
    <w:rsid w:val="00D20F81"/>
    <w:rsid w:val="00D222DD"/>
    <w:rsid w:val="00D26751"/>
    <w:rsid w:val="00D27371"/>
    <w:rsid w:val="00D31C5B"/>
    <w:rsid w:val="00D31C8F"/>
    <w:rsid w:val="00D34873"/>
    <w:rsid w:val="00D34C36"/>
    <w:rsid w:val="00D35952"/>
    <w:rsid w:val="00D364AD"/>
    <w:rsid w:val="00D41669"/>
    <w:rsid w:val="00D428A6"/>
    <w:rsid w:val="00D4363D"/>
    <w:rsid w:val="00D5261B"/>
    <w:rsid w:val="00D5295C"/>
    <w:rsid w:val="00D53A07"/>
    <w:rsid w:val="00D53AFC"/>
    <w:rsid w:val="00D61DE3"/>
    <w:rsid w:val="00D62256"/>
    <w:rsid w:val="00D623D5"/>
    <w:rsid w:val="00D63850"/>
    <w:rsid w:val="00D63A07"/>
    <w:rsid w:val="00D702B5"/>
    <w:rsid w:val="00D7117B"/>
    <w:rsid w:val="00D8184B"/>
    <w:rsid w:val="00D93356"/>
    <w:rsid w:val="00D94C13"/>
    <w:rsid w:val="00DA1FC4"/>
    <w:rsid w:val="00DA2AEF"/>
    <w:rsid w:val="00DA394E"/>
    <w:rsid w:val="00DA471F"/>
    <w:rsid w:val="00DA69FD"/>
    <w:rsid w:val="00DA7B06"/>
    <w:rsid w:val="00DB6705"/>
    <w:rsid w:val="00DB6C64"/>
    <w:rsid w:val="00DB7399"/>
    <w:rsid w:val="00DB7C82"/>
    <w:rsid w:val="00DC0108"/>
    <w:rsid w:val="00DC0FE3"/>
    <w:rsid w:val="00DC2D28"/>
    <w:rsid w:val="00DC333E"/>
    <w:rsid w:val="00DC3D5C"/>
    <w:rsid w:val="00DD25B2"/>
    <w:rsid w:val="00DE154F"/>
    <w:rsid w:val="00DE46C6"/>
    <w:rsid w:val="00DE46F6"/>
    <w:rsid w:val="00DF77A6"/>
    <w:rsid w:val="00E007B6"/>
    <w:rsid w:val="00E02B67"/>
    <w:rsid w:val="00E07D84"/>
    <w:rsid w:val="00E126E8"/>
    <w:rsid w:val="00E14214"/>
    <w:rsid w:val="00E21E5A"/>
    <w:rsid w:val="00E220D9"/>
    <w:rsid w:val="00E279A2"/>
    <w:rsid w:val="00E27EC4"/>
    <w:rsid w:val="00E31648"/>
    <w:rsid w:val="00E32D27"/>
    <w:rsid w:val="00E33471"/>
    <w:rsid w:val="00E33E33"/>
    <w:rsid w:val="00E41F2C"/>
    <w:rsid w:val="00E45185"/>
    <w:rsid w:val="00E454BD"/>
    <w:rsid w:val="00E52AAE"/>
    <w:rsid w:val="00E54331"/>
    <w:rsid w:val="00E716F5"/>
    <w:rsid w:val="00E75A22"/>
    <w:rsid w:val="00E770D6"/>
    <w:rsid w:val="00E8652D"/>
    <w:rsid w:val="00E90266"/>
    <w:rsid w:val="00E9324E"/>
    <w:rsid w:val="00E9759B"/>
    <w:rsid w:val="00EA1DDC"/>
    <w:rsid w:val="00EA4E70"/>
    <w:rsid w:val="00EB0D1B"/>
    <w:rsid w:val="00EB1120"/>
    <w:rsid w:val="00EB2BA2"/>
    <w:rsid w:val="00EB3024"/>
    <w:rsid w:val="00EC0774"/>
    <w:rsid w:val="00EC1110"/>
    <w:rsid w:val="00EC295F"/>
    <w:rsid w:val="00EC4A93"/>
    <w:rsid w:val="00EC6592"/>
    <w:rsid w:val="00ED288D"/>
    <w:rsid w:val="00ED58F6"/>
    <w:rsid w:val="00EE09F6"/>
    <w:rsid w:val="00EE1A12"/>
    <w:rsid w:val="00EE2221"/>
    <w:rsid w:val="00EF21FA"/>
    <w:rsid w:val="00F05A9D"/>
    <w:rsid w:val="00F06838"/>
    <w:rsid w:val="00F13F31"/>
    <w:rsid w:val="00F14E06"/>
    <w:rsid w:val="00F16B7B"/>
    <w:rsid w:val="00F17190"/>
    <w:rsid w:val="00F1765A"/>
    <w:rsid w:val="00F227EA"/>
    <w:rsid w:val="00F2497A"/>
    <w:rsid w:val="00F25093"/>
    <w:rsid w:val="00F2580D"/>
    <w:rsid w:val="00F304CF"/>
    <w:rsid w:val="00F31839"/>
    <w:rsid w:val="00F3601A"/>
    <w:rsid w:val="00F36816"/>
    <w:rsid w:val="00F4332E"/>
    <w:rsid w:val="00F52792"/>
    <w:rsid w:val="00F6783C"/>
    <w:rsid w:val="00F727B5"/>
    <w:rsid w:val="00F74DAD"/>
    <w:rsid w:val="00F877A4"/>
    <w:rsid w:val="00F87C96"/>
    <w:rsid w:val="00F87CD4"/>
    <w:rsid w:val="00F90A39"/>
    <w:rsid w:val="00F938A9"/>
    <w:rsid w:val="00FA3D41"/>
    <w:rsid w:val="00FA6A60"/>
    <w:rsid w:val="00FB2632"/>
    <w:rsid w:val="00FB3352"/>
    <w:rsid w:val="00FB3DC2"/>
    <w:rsid w:val="00FB7F7A"/>
    <w:rsid w:val="00FD15D2"/>
    <w:rsid w:val="00FD3A4F"/>
    <w:rsid w:val="00FD4FFB"/>
    <w:rsid w:val="00FE55BB"/>
    <w:rsid w:val="00FE5ECA"/>
    <w:rsid w:val="00FE78BE"/>
    <w:rsid w:val="00FF00CA"/>
    <w:rsid w:val="00FF4941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A7D52"/>
  <w15:chartTrackingRefBased/>
  <w15:docId w15:val="{C75694EB-5E1F-414F-8BF8-24CB4471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8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631907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rPr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A7446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2">
    <w:name w:val="Body Text 2"/>
    <w:basedOn w:val="Normln"/>
    <w:rsid w:val="00B53F18"/>
    <w:pPr>
      <w:spacing w:after="120" w:line="48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7C506E"/>
    <w:pPr>
      <w:spacing w:after="120"/>
    </w:pPr>
  </w:style>
  <w:style w:type="character" w:customStyle="1" w:styleId="ZkladntextChar">
    <w:name w:val="Základní text Char"/>
    <w:link w:val="Zkladntext"/>
    <w:uiPriority w:val="99"/>
    <w:rsid w:val="007C506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D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31D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7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750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75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7502"/>
    <w:rPr>
      <w:sz w:val="24"/>
      <w:szCs w:val="24"/>
    </w:rPr>
  </w:style>
  <w:style w:type="character" w:customStyle="1" w:styleId="nowrap">
    <w:name w:val="nowrap"/>
    <w:rsid w:val="00A87101"/>
  </w:style>
  <w:style w:type="character" w:customStyle="1" w:styleId="preformatted">
    <w:name w:val="preformatted"/>
    <w:rsid w:val="00450FD0"/>
  </w:style>
  <w:style w:type="paragraph" w:customStyle="1" w:styleId="CharCharCharCharCharCharCharCharCharCharCharCharCharCharCharCharChar0">
    <w:name w:val="Char Char Char Char Char Char Char Char Char Char Char Char Char Char Char Char Char"/>
    <w:basedOn w:val="Normln"/>
    <w:rsid w:val="00971D0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52C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C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CB7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C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CB7"/>
    <w:rPr>
      <w:b/>
      <w:bCs/>
      <w:lang w:eastAsia="cs-CZ"/>
    </w:rPr>
  </w:style>
  <w:style w:type="paragraph" w:customStyle="1" w:styleId="CharCharCharCharCharCharCharCharCharCharCharCharCharCharCharCharChar1">
    <w:name w:val="Char Char Char Char Char Char Char Char Char Char Char Char Char Char Char Char Char"/>
    <w:basedOn w:val="Normln"/>
    <w:rsid w:val="002F4EF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27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0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7" ma:contentTypeDescription="Vytvoří nový dokument" ma:contentTypeScope="" ma:versionID="88d1a18d3da3bd23c5d343dc29e0509c">
  <xsd:schema xmlns:xsd="http://www.w3.org/2001/XMLSchema" xmlns:xs="http://www.w3.org/2001/XMLSchema" xmlns:p="http://schemas.microsoft.com/office/2006/metadata/properties" xmlns:ns3="76a17b82-7a95-41ea-b6bd-4723e6c9d3d2" targetNamespace="http://schemas.microsoft.com/office/2006/metadata/properties" ma:root="true" ma:fieldsID="92d41fac2d0abc7a6a4b2b401f9a2109" ns3:_="">
    <xsd:import namespace="76a17b82-7a95-41ea-b6bd-4723e6c9d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344-06ED-4A7B-A0DA-77B42357F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1B9CF-2CB7-466E-8EFE-DF9447AA2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64CA2-F102-47BB-AF23-C39FD849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2057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Bratrská 34, 750 11 Přerov</Company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subject/>
  <dc:creator>Městský úřad Přerov</dc:creator>
  <cp:keywords/>
  <cp:lastModifiedBy>Dagmar Šneidrová</cp:lastModifiedBy>
  <cp:revision>5</cp:revision>
  <cp:lastPrinted>2021-05-05T07:15:00Z</cp:lastPrinted>
  <dcterms:created xsi:type="dcterms:W3CDTF">2024-12-17T12:20:00Z</dcterms:created>
  <dcterms:modified xsi:type="dcterms:W3CDTF">2024-12-17T12:23:00Z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