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bottom w:val="single" w:sz="4" w:space="0" w:color="auto"/>
        </w:pBdr>
        <w:shd w:val="clear" w:color="auto" w:fill="auto"/>
        <w:bidi w:val="0"/>
        <w:spacing w:before="0" w:after="320" w:line="228" w:lineRule="auto"/>
        <w:ind w:left="0" w:right="0" w:firstLine="0"/>
        <w:jc w:val="center"/>
      </w:pPr>
      <w:r>
        <w:rPr>
          <w:rFonts w:ascii="Times New Roman" w:eastAsia="Times New Roman" w:hAnsi="Times New Roman" w:cs="Times New Roman"/>
          <w:b/>
          <w:bCs/>
          <w:color w:val="000000"/>
          <w:spacing w:val="0"/>
          <w:w w:val="100"/>
          <w:position w:val="0"/>
          <w:sz w:val="40"/>
          <w:szCs w:val="40"/>
          <w:shd w:val="clear" w:color="auto" w:fill="auto"/>
          <w:lang w:val="cs-CZ" w:eastAsia="cs-CZ" w:bidi="cs-CZ"/>
        </w:rPr>
        <w:t>S M L O U V A O D Í L O</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uzavřená podle ustanovení § 2586 a násl. zákona č. 89/2012Sb.,</w:t>
        <w:br/>
        <w:t>Občanského zákoníku v platném znění</w:t>
      </w:r>
    </w:p>
    <w:p>
      <w:pPr>
        <w:pStyle w:val="Style2"/>
        <w:keepNext w:val="0"/>
        <w:keepLines w:val="0"/>
        <w:widowControl w:val="0"/>
        <w:shd w:val="clear" w:color="auto" w:fill="auto"/>
        <w:tabs>
          <w:tab w:pos="5886" w:val="left"/>
        </w:tabs>
        <w:bidi w:val="0"/>
        <w:spacing w:before="0" w:after="380" w:line="240" w:lineRule="auto"/>
        <w:ind w:left="0" w:right="0" w:firstLine="14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Číslo objednatele: 1289/2024</w:t>
        <w:tab/>
        <w:t>Číslo zhotovitele:</w:t>
      </w:r>
    </w:p>
    <w:p>
      <w:pPr>
        <w:pStyle w:val="Style10"/>
        <w:keepNext/>
        <w:keepLines/>
        <w:widowControl w:val="0"/>
        <w:numPr>
          <w:ilvl w:val="0"/>
          <w:numId w:val="1"/>
        </w:numPr>
        <w:shd w:val="clear" w:color="auto" w:fill="auto"/>
        <w:tabs>
          <w:tab w:pos="854" w:val="left"/>
        </w:tabs>
        <w:bidi w:val="0"/>
        <w:spacing w:before="0" w:after="40" w:line="240" w:lineRule="auto"/>
        <w:ind w:left="0" w:right="0" w:firstLine="0"/>
        <w:jc w:val="left"/>
      </w:pPr>
      <w:bookmarkStart w:id="0" w:name="bookmark0"/>
      <w:bookmarkStart w:id="1" w:name="bookmark1"/>
      <w:bookmarkStart w:id="2" w:name="bookmark2"/>
      <w:bookmarkStart w:id="3" w:name="bookmark3"/>
      <w:bookmarkEnd w:id="2"/>
      <w:r>
        <w:rPr>
          <w:rFonts w:ascii="Times New Roman" w:eastAsia="Times New Roman" w:hAnsi="Times New Roman" w:cs="Times New Roman"/>
          <w:color w:val="000000"/>
          <w:spacing w:val="0"/>
          <w:w w:val="100"/>
          <w:position w:val="0"/>
          <w:shd w:val="clear" w:color="auto" w:fill="auto"/>
          <w:lang w:val="cs-CZ" w:eastAsia="cs-CZ" w:bidi="cs-CZ"/>
        </w:rPr>
        <w:t>SMLUVNÍ STRANY</w:t>
      </w:r>
      <w:bookmarkEnd w:id="0"/>
      <w:bookmarkEnd w:id="1"/>
      <w:bookmarkEnd w:id="3"/>
    </w:p>
    <w:tbl>
      <w:tblPr>
        <w:tblOverlap w:val="never"/>
        <w:jc w:val="center"/>
        <w:tblLayout w:type="fixed"/>
      </w:tblPr>
      <w:tblGrid>
        <w:gridCol w:w="3552"/>
        <w:gridCol w:w="5635"/>
      </w:tblGrid>
      <w:tr>
        <w:trPr>
          <w:trHeight w:val="1666"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p>
            <w:pPr>
              <w:pStyle w:val="Style12"/>
              <w:keepNext w:val="0"/>
              <w:keepLines w:val="0"/>
              <w:widowControl w:val="0"/>
              <w:shd w:val="clear" w:color="auto" w:fill="auto"/>
              <w:bidi w:val="0"/>
              <w:spacing w:before="0" w:after="0" w:line="276" w:lineRule="auto"/>
              <w:ind w:left="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 Sídlo:</w:t>
            </w:r>
          </w:p>
          <w:p>
            <w:pPr>
              <w:pStyle w:val="Style12"/>
              <w:keepNext w:val="0"/>
              <w:keepLines w:val="0"/>
              <w:widowControl w:val="0"/>
              <w:shd w:val="clear" w:color="auto" w:fill="auto"/>
              <w:bidi w:val="0"/>
              <w:spacing w:before="0" w:after="0" w:line="276" w:lineRule="auto"/>
              <w:ind w:left="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tc>
        <w:tc>
          <w:tcPr>
            <w:tcBorders/>
            <w:shd w:val="clear" w:color="auto" w:fill="FFFFFF"/>
            <w:vAlign w:val="bottom"/>
          </w:tcPr>
          <w:p>
            <w:pPr>
              <w:pStyle w:val="Style12"/>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12"/>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p>
            <w:pPr>
              <w:pStyle w:val="Style12"/>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 Krajského soudu v Ústí n. Labem, oddíl A, vložka č. 13052</w:t>
            </w:r>
          </w:p>
        </w:tc>
      </w:tr>
      <w:tr>
        <w:trPr>
          <w:trHeight w:val="3763" w:hRule="exact"/>
        </w:trPr>
        <w:tc>
          <w:tcPr>
            <w:tcBorders/>
            <w:shd w:val="clear" w:color="auto" w:fill="FFFFFF"/>
            <w:vAlign w:val="top"/>
          </w:tcPr>
          <w:p>
            <w:pPr>
              <w:pStyle w:val="Style12"/>
              <w:keepNext w:val="0"/>
              <w:keepLines w:val="0"/>
              <w:widowControl w:val="0"/>
              <w:shd w:val="clear" w:color="auto" w:fill="auto"/>
              <w:bidi w:val="0"/>
              <w:spacing w:before="0" w:after="0" w:line="329" w:lineRule="auto"/>
              <w:ind w:left="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objednatele: Zástupce ve věcech smluvních: Zástupce ve věcech technických: IČO:</w:t>
            </w:r>
          </w:p>
          <w:p>
            <w:pPr>
              <w:pStyle w:val="Style12"/>
              <w:keepNext w:val="0"/>
              <w:keepLines w:val="0"/>
              <w:widowControl w:val="0"/>
              <w:shd w:val="clear" w:color="auto" w:fill="auto"/>
              <w:bidi w:val="0"/>
              <w:spacing w:before="0" w:after="0" w:line="329"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12"/>
              <w:keepNext w:val="0"/>
              <w:keepLines w:val="0"/>
              <w:widowControl w:val="0"/>
              <w:shd w:val="clear" w:color="auto" w:fill="auto"/>
              <w:bidi w:val="0"/>
              <w:spacing w:before="0" w:after="0" w:line="329"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w:t>
            </w:r>
          </w:p>
          <w:p>
            <w:pPr>
              <w:pStyle w:val="Style12"/>
              <w:keepNext w:val="0"/>
              <w:keepLines w:val="0"/>
              <w:widowControl w:val="0"/>
              <w:shd w:val="clear" w:color="auto" w:fill="auto"/>
              <w:bidi w:val="0"/>
              <w:spacing w:before="0" w:after="0" w:line="329"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12"/>
              <w:keepNext w:val="0"/>
              <w:keepLines w:val="0"/>
              <w:widowControl w:val="0"/>
              <w:shd w:val="clear" w:color="auto" w:fill="auto"/>
              <w:bidi w:val="0"/>
              <w:spacing w:before="0" w:after="0" w:line="329"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p>
            <w:pPr>
              <w:pStyle w:val="Style12"/>
              <w:keepNext w:val="0"/>
              <w:keepLines w:val="0"/>
              <w:widowControl w:val="0"/>
              <w:shd w:val="clear" w:color="auto" w:fill="auto"/>
              <w:bidi w:val="0"/>
              <w:spacing w:before="0" w:after="0" w:line="329"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fldChar w:fldCharType="begin"/>
            </w:r>
            <w:r>
              <w:rPr/>
              <w:instrText> HYPERLINK "mailto:poh@poh.cz"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poh@poh.cz</w:t>
            </w:r>
            <w:r>
              <w:fldChar w:fldCharType="end"/>
            </w:r>
          </w:p>
        </w:tc>
      </w:tr>
    </w:tbl>
    <w:p>
      <w:pPr>
        <w:widowControl w:val="0"/>
        <w:spacing w:after="39" w:line="1" w:lineRule="exact"/>
      </w:pPr>
    </w:p>
    <w:p>
      <w:pPr>
        <w:pStyle w:val="Style15"/>
        <w:keepNext w:val="0"/>
        <w:keepLines w:val="0"/>
        <w:widowControl w:val="0"/>
        <w:shd w:val="clear" w:color="auto" w:fill="auto"/>
        <w:bidi w:val="0"/>
        <w:spacing w:before="0" w:after="0" w:line="240" w:lineRule="auto"/>
        <w:ind w:left="5"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w:t>
      </w:r>
    </w:p>
    <w:tbl>
      <w:tblPr>
        <w:tblOverlap w:val="never"/>
        <w:jc w:val="center"/>
        <w:tblLayout w:type="fixed"/>
      </w:tblPr>
      <w:tblGrid>
        <w:gridCol w:w="3552"/>
        <w:gridCol w:w="5635"/>
      </w:tblGrid>
      <w:tr>
        <w:trPr>
          <w:trHeight w:val="163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w:t>
            </w:r>
          </w:p>
          <w:p>
            <w:pPr>
              <w:pStyle w:val="Style12"/>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12"/>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p>
            <w:pPr>
              <w:pStyle w:val="Style12"/>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zhotovitele:</w:t>
            </w:r>
          </w:p>
        </w:tc>
        <w:tc>
          <w:tcPr>
            <w:tcBorders/>
            <w:shd w:val="clear" w:color="auto" w:fill="FFFFFF"/>
            <w:vAlign w:val="top"/>
          </w:tcPr>
          <w:p>
            <w:pPr>
              <w:pStyle w:val="Style12"/>
              <w:keepNext w:val="0"/>
              <w:keepLines w:val="0"/>
              <w:widowControl w:val="0"/>
              <w:shd w:val="clear" w:color="auto" w:fill="auto"/>
              <w:bidi w:val="0"/>
              <w:spacing w:before="100" w:after="4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VODNÍ DÍLA – TBD a.s.</w:t>
            </w:r>
          </w:p>
          <w:p>
            <w:pPr>
              <w:pStyle w:val="Style12"/>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Hybernská 1617/40, Nové Město, 110 00 Praha 1 u</w:t>
            </w:r>
          </w:p>
          <w:p>
            <w:pPr>
              <w:pStyle w:val="Style12"/>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Městského soudu v Praze, oddíl B, složka č. 2154</w:t>
            </w:r>
          </w:p>
        </w:tc>
      </w:tr>
    </w:tbl>
    <w:p>
      <w:pPr>
        <w:widowControl w:val="0"/>
        <w:spacing w:after="2639" w:line="1" w:lineRule="exact"/>
      </w:pP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w:t>
      </w:r>
    </w:p>
    <w:p>
      <w:pPr>
        <w:pStyle w:val="Style2"/>
        <w:keepNext w:val="0"/>
        <w:keepLines w:val="0"/>
        <w:widowControl w:val="0"/>
        <w:shd w:val="clear" w:color="auto" w:fill="auto"/>
        <w:bidi w:val="0"/>
        <w:spacing w:before="0" w:after="3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technických:</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2"/>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 Číslo účtu:</w:t>
      </w:r>
    </w:p>
    <w:p>
      <w:pPr>
        <w:pStyle w:val="Style2"/>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p>
      <w:pPr>
        <w:pStyle w:val="Style2"/>
        <w:keepNext w:val="0"/>
        <w:keepLines w:val="0"/>
        <w:widowControl w:val="0"/>
        <w:shd w:val="clear" w:color="auto" w:fill="auto"/>
        <w:tabs>
          <w:tab w:pos="3509" w:val="left"/>
        </w:tabs>
        <w:bidi w:val="0"/>
        <w:spacing w:before="0" w:after="26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tab/>
      </w:r>
      <w:r>
        <w:fldChar w:fldCharType="begin"/>
      </w:r>
      <w:r>
        <w:rPr/>
        <w:instrText> HYPERLINK "mailto:praha@vdtbd.cz"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praha@vdtbd.cz</w:t>
      </w:r>
      <w:r>
        <w:fldChar w:fldCharType="end"/>
      </w:r>
    </w:p>
    <w:p>
      <w:pPr>
        <w:pStyle w:val="Style10"/>
        <w:keepNext/>
        <w:keepLines/>
        <w:widowControl w:val="0"/>
        <w:numPr>
          <w:ilvl w:val="0"/>
          <w:numId w:val="1"/>
        </w:numPr>
        <w:shd w:val="clear" w:color="auto" w:fill="auto"/>
        <w:tabs>
          <w:tab w:pos="854" w:val="left"/>
        </w:tabs>
        <w:bidi w:val="0"/>
        <w:spacing w:before="0" w:line="240" w:lineRule="auto"/>
        <w:ind w:left="0" w:right="0" w:firstLine="0"/>
        <w:jc w:val="both"/>
      </w:pPr>
      <w:bookmarkStart w:id="4" w:name="bookmark4"/>
      <w:bookmarkStart w:id="5" w:name="bookmark5"/>
      <w:bookmarkStart w:id="6" w:name="bookmark6"/>
      <w:bookmarkStart w:id="7" w:name="bookmark7"/>
      <w:bookmarkEnd w:id="6"/>
      <w:r>
        <w:rPr>
          <w:rFonts w:ascii="Times New Roman" w:eastAsia="Times New Roman" w:hAnsi="Times New Roman" w:cs="Times New Roman"/>
          <w:color w:val="000000"/>
          <w:spacing w:val="0"/>
          <w:w w:val="100"/>
          <w:position w:val="0"/>
          <w:shd w:val="clear" w:color="auto" w:fill="auto"/>
          <w:lang w:val="cs-CZ" w:eastAsia="cs-CZ" w:bidi="cs-CZ"/>
        </w:rPr>
        <w:t>PŘEDMĚT DÍLA</w:t>
      </w:r>
      <w:bookmarkEnd w:id="4"/>
      <w:bookmarkEnd w:id="5"/>
      <w:bookmarkEnd w:id="7"/>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Předmětem plnění je technickobezpečnostní dohled (TBD) nad vodními díly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III. a IV</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kategorie ve správě Povodí Ohře, státní podnik.</w:t>
      </w:r>
    </w:p>
    <w:p>
      <w:pPr>
        <w:pStyle w:val="Style2"/>
        <w:keepNext w:val="0"/>
        <w:keepLines w:val="0"/>
        <w:widowControl w:val="0"/>
        <w:numPr>
          <w:ilvl w:val="0"/>
          <w:numId w:val="3"/>
        </w:numPr>
        <w:shd w:val="clear" w:color="auto" w:fill="auto"/>
        <w:tabs>
          <w:tab w:pos="378" w:val="left"/>
        </w:tabs>
        <w:bidi w:val="0"/>
        <w:spacing w:before="0" w:after="0" w:line="262" w:lineRule="auto"/>
        <w:ind w:left="320" w:right="0" w:hanging="320"/>
        <w:jc w:val="both"/>
      </w:pPr>
      <w:bookmarkStart w:id="8" w:name="bookmark8"/>
      <w:bookmarkEnd w:id="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zadává a zhotovitel se zavazuje k výkonu a provádění Technickobezpečnostního dohledu nad vodními díly III. a IV. kategorie ve správě Povodí Ohře, státní podnik v letech 2025 až 2028 včetně. Bezpečnostní dohled bude prováděn na vodních dílech uvedených v příloze č. 1 této smlouvy.</w:t>
      </w:r>
    </w:p>
    <w:p>
      <w:pPr>
        <w:pStyle w:val="Style2"/>
        <w:keepNext w:val="0"/>
        <w:keepLines w:val="0"/>
        <w:widowControl w:val="0"/>
        <w:numPr>
          <w:ilvl w:val="0"/>
          <w:numId w:val="3"/>
        </w:numPr>
        <w:shd w:val="clear" w:color="auto" w:fill="auto"/>
        <w:tabs>
          <w:tab w:pos="378" w:val="left"/>
        </w:tabs>
        <w:bidi w:val="0"/>
        <w:spacing w:before="0" w:after="0" w:line="262" w:lineRule="auto"/>
        <w:ind w:left="0" w:right="0" w:firstLine="0"/>
        <w:jc w:val="left"/>
      </w:pPr>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Rozsah kontrol na jednotlivých dílech je definován v příloze č. 1 této smlouvy.</w:t>
      </w:r>
    </w:p>
    <w:p>
      <w:pPr>
        <w:pStyle w:val="Style2"/>
        <w:keepNext w:val="0"/>
        <w:keepLines w:val="0"/>
        <w:widowControl w:val="0"/>
        <w:numPr>
          <w:ilvl w:val="0"/>
          <w:numId w:val="3"/>
        </w:numPr>
        <w:shd w:val="clear" w:color="auto" w:fill="auto"/>
        <w:tabs>
          <w:tab w:pos="378" w:val="left"/>
        </w:tabs>
        <w:bidi w:val="0"/>
        <w:spacing w:before="0" w:after="0" w:line="262" w:lineRule="auto"/>
        <w:ind w:left="320" w:right="0" w:hanging="320"/>
        <w:jc w:val="both"/>
      </w:pPr>
      <w:bookmarkStart w:id="10" w:name="bookmark10"/>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TBD je prováděn dle § 61 a § 62 zákona č. 254/2001 Sb., o vodách, a dle vyhlášky č. 471/2001 Sb. o TBD.</w:t>
      </w:r>
    </w:p>
    <w:p>
      <w:pPr>
        <w:pStyle w:val="Style2"/>
        <w:keepNext w:val="0"/>
        <w:keepLines w:val="0"/>
        <w:widowControl w:val="0"/>
        <w:numPr>
          <w:ilvl w:val="0"/>
          <w:numId w:val="3"/>
        </w:numPr>
        <w:shd w:val="clear" w:color="auto" w:fill="auto"/>
        <w:tabs>
          <w:tab w:pos="378" w:val="left"/>
        </w:tabs>
        <w:bidi w:val="0"/>
        <w:spacing w:before="0" w:after="0" w:line="262" w:lineRule="auto"/>
        <w:ind w:left="320" w:right="0" w:hanging="32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disponuje pověřením v souladu s „Metodickým pokynem k postupu a podmínkám udělování pověření Ministerstva zemědělství pro provádění technickobezpečnostního dohledu nad vodními díly č. j. 67207/2012-MZE-15100“.</w:t>
      </w:r>
    </w:p>
    <w:p>
      <w:pPr>
        <w:pStyle w:val="Style2"/>
        <w:keepNext w:val="0"/>
        <w:keepLines w:val="0"/>
        <w:widowControl w:val="0"/>
        <w:numPr>
          <w:ilvl w:val="0"/>
          <w:numId w:val="3"/>
        </w:numPr>
        <w:shd w:val="clear" w:color="auto" w:fill="auto"/>
        <w:tabs>
          <w:tab w:pos="378" w:val="left"/>
        </w:tabs>
        <w:bidi w:val="0"/>
        <w:spacing w:before="0" w:after="260" w:line="262" w:lineRule="auto"/>
        <w:ind w:left="320" w:right="0" w:hanging="32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Jeden pracovník může vykonávat funkci odpovědné osoby maximálně na 5 vodních dílech.</w:t>
      </w:r>
    </w:p>
    <w:p>
      <w:pPr>
        <w:pStyle w:val="Style10"/>
        <w:keepNext/>
        <w:keepLines/>
        <w:widowControl w:val="0"/>
        <w:numPr>
          <w:ilvl w:val="0"/>
          <w:numId w:val="1"/>
        </w:numPr>
        <w:shd w:val="clear" w:color="auto" w:fill="auto"/>
        <w:tabs>
          <w:tab w:pos="854" w:val="left"/>
        </w:tabs>
        <w:bidi w:val="0"/>
        <w:spacing w:before="0" w:line="240" w:lineRule="auto"/>
        <w:ind w:left="0" w:right="0" w:firstLine="0"/>
        <w:jc w:val="left"/>
      </w:pPr>
      <w:bookmarkStart w:id="13" w:name="bookmark13"/>
      <w:bookmarkStart w:id="14" w:name="bookmark14"/>
      <w:bookmarkStart w:id="15" w:name="bookmark15"/>
      <w:bookmarkStart w:id="16" w:name="bookmark16"/>
      <w:bookmarkEnd w:id="15"/>
      <w:r>
        <w:rPr>
          <w:rFonts w:ascii="Times New Roman" w:eastAsia="Times New Roman" w:hAnsi="Times New Roman" w:cs="Times New Roman"/>
          <w:color w:val="000000"/>
          <w:spacing w:val="0"/>
          <w:w w:val="100"/>
          <w:position w:val="0"/>
          <w:shd w:val="clear" w:color="auto" w:fill="auto"/>
          <w:lang w:val="cs-CZ" w:eastAsia="cs-CZ" w:bidi="cs-CZ"/>
        </w:rPr>
        <w:t>TERMÍNY PLNĚNÍ</w:t>
      </w:r>
      <w:bookmarkEnd w:id="13"/>
      <w:bookmarkEnd w:id="14"/>
      <w:bookmarkEnd w:id="16"/>
    </w:p>
    <w:p>
      <w:pPr>
        <w:pStyle w:val="Style2"/>
        <w:keepNext w:val="0"/>
        <w:keepLines w:val="0"/>
        <w:widowControl w:val="0"/>
        <w:numPr>
          <w:ilvl w:val="0"/>
          <w:numId w:val="5"/>
        </w:numPr>
        <w:shd w:val="clear" w:color="auto" w:fill="auto"/>
        <w:tabs>
          <w:tab w:pos="378" w:val="left"/>
        </w:tabs>
        <w:bidi w:val="0"/>
        <w:spacing w:before="0" w:after="0" w:line="264" w:lineRule="auto"/>
        <w:ind w:left="0" w:right="0" w:firstLine="0"/>
        <w:jc w:val="left"/>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Realizace díla se uskuteční od 01. 01. 2025 do 31. 12. 2028.</w:t>
      </w:r>
    </w:p>
    <w:p>
      <w:pPr>
        <w:pStyle w:val="Style2"/>
        <w:keepNext w:val="0"/>
        <w:keepLines w:val="0"/>
        <w:widowControl w:val="0"/>
        <w:numPr>
          <w:ilvl w:val="0"/>
          <w:numId w:val="5"/>
        </w:numPr>
        <w:shd w:val="clear" w:color="auto" w:fill="auto"/>
        <w:tabs>
          <w:tab w:pos="378" w:val="left"/>
        </w:tabs>
        <w:bidi w:val="0"/>
        <w:spacing w:before="0" w:after="260" w:line="264" w:lineRule="auto"/>
        <w:ind w:left="320" w:right="0" w:hanging="32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si sjednávají postupový termín dílčího plnění ve výši 50 % ceny díla pro příslušný rok do 30. 9. každého příslušného roku.</w:t>
      </w:r>
    </w:p>
    <w:p>
      <w:pPr>
        <w:pStyle w:val="Style10"/>
        <w:keepNext/>
        <w:keepLines/>
        <w:widowControl w:val="0"/>
        <w:numPr>
          <w:ilvl w:val="0"/>
          <w:numId w:val="1"/>
        </w:numPr>
        <w:shd w:val="clear" w:color="auto" w:fill="auto"/>
        <w:tabs>
          <w:tab w:pos="854" w:val="left"/>
        </w:tabs>
        <w:bidi w:val="0"/>
        <w:spacing w:before="0" w:line="240" w:lineRule="auto"/>
        <w:ind w:left="0" w:right="0" w:firstLine="0"/>
        <w:jc w:val="left"/>
      </w:pPr>
      <w:bookmarkStart w:id="19" w:name="bookmark19"/>
      <w:bookmarkStart w:id="20" w:name="bookmark20"/>
      <w:bookmarkStart w:id="21" w:name="bookmark21"/>
      <w:bookmarkStart w:id="22" w:name="bookmark22"/>
      <w:bookmarkEnd w:id="21"/>
      <w:r>
        <w:rPr>
          <w:rFonts w:ascii="Times New Roman" w:eastAsia="Times New Roman" w:hAnsi="Times New Roman" w:cs="Times New Roman"/>
          <w:color w:val="000000"/>
          <w:spacing w:val="0"/>
          <w:w w:val="100"/>
          <w:position w:val="0"/>
          <w:shd w:val="clear" w:color="auto" w:fill="auto"/>
          <w:lang w:val="cs-CZ" w:eastAsia="cs-CZ" w:bidi="cs-CZ"/>
        </w:rPr>
        <w:t>CENA DÍLA</w:t>
      </w:r>
      <w:bookmarkEnd w:id="19"/>
      <w:bookmarkEnd w:id="20"/>
      <w:bookmarkEnd w:id="22"/>
    </w:p>
    <w:p>
      <w:pPr>
        <w:pStyle w:val="Style2"/>
        <w:keepNext w:val="0"/>
        <w:keepLines w:val="0"/>
        <w:widowControl w:val="0"/>
        <w:numPr>
          <w:ilvl w:val="0"/>
          <w:numId w:val="7"/>
        </w:numPr>
        <w:shd w:val="clear" w:color="auto" w:fill="auto"/>
        <w:tabs>
          <w:tab w:pos="378" w:val="left"/>
        </w:tabs>
        <w:bidi w:val="0"/>
        <w:spacing w:before="0" w:after="40" w:line="259" w:lineRule="auto"/>
        <w:ind w:left="320" w:right="0" w:hanging="32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Smluvně dohodnuté ceny prací pro roky 2025 až 2028 nad vodními díly III. a IV. kategorie ve správě Povodí Ohře, státní podnik (bez DPH) a jejich jednotlivé položky jsou uvedeny v přílohách č. 2025, 2026, 2027, 2028, (dále jen Soupis prací), který tvoří přílohu č.1 této smlouvy.</w:t>
      </w:r>
    </w:p>
    <w:p>
      <w:pPr>
        <w:pStyle w:val="Style2"/>
        <w:keepNext w:val="0"/>
        <w:keepLines w:val="0"/>
        <w:widowControl w:val="0"/>
        <w:numPr>
          <w:ilvl w:val="0"/>
          <w:numId w:val="7"/>
        </w:numPr>
        <w:shd w:val="clear" w:color="auto" w:fill="auto"/>
        <w:tabs>
          <w:tab w:pos="378" w:val="left"/>
        </w:tabs>
        <w:bidi w:val="0"/>
        <w:spacing w:before="0" w:after="0" w:line="240" w:lineRule="auto"/>
        <w:ind w:left="0" w:right="0" w:firstLine="0"/>
        <w:jc w:val="left"/>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Vyhrazená změna závazku:</w:t>
      </w:r>
    </w:p>
    <w:p>
      <w:pPr>
        <w:pStyle w:val="Style2"/>
        <w:keepNext w:val="0"/>
        <w:keepLines w:val="0"/>
        <w:widowControl w:val="0"/>
        <w:shd w:val="clear" w:color="auto" w:fill="auto"/>
        <w:bidi w:val="0"/>
        <w:spacing w:before="0" w:after="260" w:line="240" w:lineRule="auto"/>
        <w:ind w:left="32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souladu s § 100 odst. 1 zákona objednatel uplatňuje právo na vyhrazenou změnu závazku, která nemění celkovou povahu veřejné zakázky a kterou objednatel předvídá. Týká se množství níže uvedených činností, než je předpokládáno v Soupisu prací.</w:t>
      </w:r>
    </w:p>
    <w:p>
      <w:pPr>
        <w:pStyle w:val="Style2"/>
        <w:keepNext w:val="0"/>
        <w:keepLines w:val="0"/>
        <w:widowControl w:val="0"/>
        <w:shd w:val="clear" w:color="auto" w:fill="auto"/>
        <w:bidi w:val="0"/>
        <w:spacing w:before="0" w:after="120" w:line="240" w:lineRule="auto"/>
        <w:ind w:left="0" w:right="0" w:firstLine="3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Tyto činnosti jsou pro každý rok zvlášť.</w:t>
      </w:r>
    </w:p>
    <w:p>
      <w:pPr>
        <w:pStyle w:val="Style2"/>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Ostatní periodické činnosti - technologie</w:t>
      </w:r>
    </w:p>
    <w:p>
      <w:pPr>
        <w:pStyle w:val="Style2"/>
        <w:keepNext w:val="0"/>
        <w:keepLines w:val="0"/>
        <w:widowControl w:val="0"/>
        <w:shd w:val="clear" w:color="auto" w:fill="auto"/>
        <w:bidi w:val="0"/>
        <w:spacing w:before="0" w:after="0" w:line="240" w:lineRule="auto"/>
        <w:ind w:left="74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6x zhodnocení výsledků prohlídky prostorů nátoků potápěči z hlediska TBD 2x prohlídka nátoků do SV za sucha</w:t>
      </w:r>
    </w:p>
    <w:p>
      <w:pPr>
        <w:pStyle w:val="Style2"/>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2x strojní prohlídka jezového pole při zahražení</w:t>
      </w:r>
    </w:p>
    <w:p>
      <w:pPr>
        <w:pStyle w:val="Style2"/>
        <w:keepNext w:val="0"/>
        <w:keepLines w:val="0"/>
        <w:widowControl w:val="0"/>
        <w:shd w:val="clear" w:color="auto" w:fill="auto"/>
        <w:bidi w:val="0"/>
        <w:spacing w:before="0" w:after="120" w:line="240"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2x geodetické měření průhybů hradící konstrukce jezového pole při zahražení</w:t>
      </w:r>
    </w:p>
    <w:p>
      <w:pPr>
        <w:pStyle w:val="Style2"/>
        <w:keepNext w:val="0"/>
        <w:keepLines w:val="0"/>
        <w:widowControl w:val="0"/>
        <w:shd w:val="clear" w:color="auto" w:fill="auto"/>
        <w:bidi w:val="0"/>
        <w:spacing w:before="0" w:after="0" w:line="240" w:lineRule="auto"/>
        <w:ind w:left="0" w:right="0" w:firstLine="4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Ostatní činnosti dle požadavku objednatele</w:t>
      </w:r>
    </w:p>
    <w:p>
      <w:pPr>
        <w:pStyle w:val="Style2"/>
        <w:keepNext w:val="0"/>
        <w:keepLines w:val="0"/>
        <w:widowControl w:val="0"/>
        <w:shd w:val="clear" w:color="auto" w:fill="auto"/>
        <w:bidi w:val="0"/>
        <w:spacing w:before="0" w:after="120" w:line="240" w:lineRule="auto"/>
        <w:ind w:left="74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Rozsah ostatních činností bude upřesňován objednatelem podle aktuálních provozních potřeb, maximálně však v rozsahu 120 hodin práce specialisty TBD.</w:t>
      </w:r>
    </w:p>
    <w:p>
      <w:pPr>
        <w:pStyle w:val="Style2"/>
        <w:keepNext w:val="0"/>
        <w:keepLines w:val="0"/>
        <w:widowControl w:val="0"/>
        <w:shd w:val="clear" w:color="auto" w:fill="auto"/>
        <w:bidi w:val="0"/>
        <w:spacing w:before="0" w:after="640" w:line="240" w:lineRule="auto"/>
        <w:ind w:left="46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Popis jednotlivých položek nelze změnit. Jednotkové ceny z nabídky dodavatele nebude možné změnit. Změna bude možná pouze v množství.</w:t>
      </w:r>
    </w:p>
    <w:p>
      <w:pPr>
        <w:pStyle w:val="Style10"/>
        <w:keepNext/>
        <w:keepLines/>
        <w:widowControl w:val="0"/>
        <w:numPr>
          <w:ilvl w:val="0"/>
          <w:numId w:val="1"/>
        </w:numPr>
        <w:shd w:val="clear" w:color="auto" w:fill="auto"/>
        <w:tabs>
          <w:tab w:pos="813" w:val="left"/>
        </w:tabs>
        <w:bidi w:val="0"/>
        <w:spacing w:before="0" w:line="240" w:lineRule="auto"/>
        <w:ind w:left="0" w:right="0" w:firstLine="0"/>
        <w:jc w:val="both"/>
      </w:pPr>
      <w:bookmarkStart w:id="25" w:name="bookmark25"/>
      <w:bookmarkStart w:id="26" w:name="bookmark26"/>
      <w:bookmarkStart w:id="27" w:name="bookmark27"/>
      <w:bookmarkStart w:id="28" w:name="bookmark28"/>
      <w:bookmarkEnd w:id="27"/>
      <w:r>
        <w:rPr>
          <w:rFonts w:ascii="Times New Roman" w:eastAsia="Times New Roman" w:hAnsi="Times New Roman" w:cs="Times New Roman"/>
          <w:color w:val="000000"/>
          <w:spacing w:val="0"/>
          <w:w w:val="100"/>
          <w:position w:val="0"/>
          <w:shd w:val="clear" w:color="auto" w:fill="auto"/>
          <w:lang w:val="cs-CZ" w:eastAsia="cs-CZ" w:bidi="cs-CZ"/>
        </w:rPr>
        <w:t>ÚDAJE DOHODNUTÉ K PROVEDENÍ DÍLA</w:t>
      </w:r>
      <w:bookmarkEnd w:id="25"/>
      <w:bookmarkEnd w:id="26"/>
      <w:bookmarkEnd w:id="28"/>
    </w:p>
    <w:p>
      <w:pPr>
        <w:pStyle w:val="Style2"/>
        <w:keepNext w:val="0"/>
        <w:keepLines w:val="0"/>
        <w:widowControl w:val="0"/>
        <w:numPr>
          <w:ilvl w:val="0"/>
          <w:numId w:val="9"/>
        </w:numPr>
        <w:shd w:val="clear" w:color="auto" w:fill="auto"/>
        <w:tabs>
          <w:tab w:pos="378" w:val="left"/>
        </w:tabs>
        <w:bidi w:val="0"/>
        <w:spacing w:before="0" w:after="240" w:line="266" w:lineRule="auto"/>
        <w:ind w:left="320" w:right="0" w:hanging="32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Služby jsou prováděny na vodních dílech uvedených v příloze č.1 této smlouvy a výstupy jsou předávány v sídle objednatele.</w:t>
      </w:r>
    </w:p>
    <w:p>
      <w:pPr>
        <w:pStyle w:val="Style10"/>
        <w:keepNext/>
        <w:keepLines/>
        <w:widowControl w:val="0"/>
        <w:numPr>
          <w:ilvl w:val="0"/>
          <w:numId w:val="1"/>
        </w:numPr>
        <w:shd w:val="clear" w:color="auto" w:fill="auto"/>
        <w:tabs>
          <w:tab w:pos="813" w:val="left"/>
        </w:tabs>
        <w:bidi w:val="0"/>
        <w:spacing w:before="0" w:line="240" w:lineRule="auto"/>
        <w:ind w:left="0" w:right="0" w:firstLine="0"/>
        <w:jc w:val="both"/>
      </w:pPr>
      <w:bookmarkStart w:id="30" w:name="bookmark30"/>
      <w:bookmarkStart w:id="31" w:name="bookmark31"/>
      <w:bookmarkStart w:id="32" w:name="bookmark32"/>
      <w:bookmarkStart w:id="33" w:name="bookmark33"/>
      <w:bookmarkEnd w:id="32"/>
      <w:r>
        <w:rPr>
          <w:rFonts w:ascii="Times New Roman" w:eastAsia="Times New Roman" w:hAnsi="Times New Roman" w:cs="Times New Roman"/>
          <w:color w:val="000000"/>
          <w:spacing w:val="0"/>
          <w:w w:val="100"/>
          <w:position w:val="0"/>
          <w:shd w:val="clear" w:color="auto" w:fill="auto"/>
          <w:lang w:val="cs-CZ" w:eastAsia="cs-CZ" w:bidi="cs-CZ"/>
        </w:rPr>
        <w:t>PLATEBNÍ PODMÍNKY</w:t>
      </w:r>
      <w:bookmarkEnd w:id="30"/>
      <w:bookmarkEnd w:id="31"/>
      <w:bookmarkEnd w:id="33"/>
    </w:p>
    <w:p>
      <w:pPr>
        <w:pStyle w:val="Style2"/>
        <w:keepNext w:val="0"/>
        <w:keepLines w:val="0"/>
        <w:widowControl w:val="0"/>
        <w:numPr>
          <w:ilvl w:val="0"/>
          <w:numId w:val="11"/>
        </w:numPr>
        <w:shd w:val="clear" w:color="auto" w:fill="auto"/>
        <w:tabs>
          <w:tab w:pos="378" w:val="left"/>
        </w:tabs>
        <w:bidi w:val="0"/>
        <w:spacing w:before="0" w:after="0" w:line="262" w:lineRule="auto"/>
        <w:ind w:left="0" w:right="0" w:firstLine="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nebude poskytovat zhotoviteli zálohy.</w:t>
      </w:r>
    </w:p>
    <w:p>
      <w:pPr>
        <w:pStyle w:val="Style2"/>
        <w:keepNext w:val="0"/>
        <w:keepLines w:val="0"/>
        <w:widowControl w:val="0"/>
        <w:numPr>
          <w:ilvl w:val="0"/>
          <w:numId w:val="11"/>
        </w:numPr>
        <w:shd w:val="clear" w:color="auto" w:fill="auto"/>
        <w:tabs>
          <w:tab w:pos="378" w:val="left"/>
        </w:tabs>
        <w:bidi w:val="0"/>
        <w:spacing w:before="0" w:after="0" w:line="262" w:lineRule="auto"/>
        <w:ind w:left="320" w:right="0" w:hanging="32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Fakturace vykonaných prací bude prováděna měsíčně podle skutečně provedeného rozsahu prací, které jsou v celkovém rozsahu specifikovány v soupisu prací. Fakturovaná částka bude rozklíčena na jednotlivé závody objednatele a předání seznamu jejich souborů bude přiloženo k předmětné faktuře. Datem uskutečnění zdanitelného plnění je poslední kalendářní den v měsíci.</w:t>
      </w:r>
    </w:p>
    <w:p>
      <w:pPr>
        <w:pStyle w:val="Style2"/>
        <w:keepNext w:val="0"/>
        <w:keepLines w:val="0"/>
        <w:widowControl w:val="0"/>
        <w:numPr>
          <w:ilvl w:val="0"/>
          <w:numId w:val="11"/>
        </w:numPr>
        <w:shd w:val="clear" w:color="auto" w:fill="auto"/>
        <w:tabs>
          <w:tab w:pos="378" w:val="left"/>
        </w:tabs>
        <w:bidi w:val="0"/>
        <w:spacing w:before="0" w:after="0" w:line="262" w:lineRule="auto"/>
        <w:ind w:left="320" w:right="0" w:hanging="32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vystavit řádný daňový doklad do patnácti dnů ode dne uskutečněného zdanitelného plnění.</w:t>
      </w:r>
    </w:p>
    <w:p>
      <w:pPr>
        <w:pStyle w:val="Style2"/>
        <w:keepNext w:val="0"/>
        <w:keepLines w:val="0"/>
        <w:widowControl w:val="0"/>
        <w:numPr>
          <w:ilvl w:val="0"/>
          <w:numId w:val="11"/>
        </w:numPr>
        <w:shd w:val="clear" w:color="auto" w:fill="auto"/>
        <w:tabs>
          <w:tab w:pos="378" w:val="left"/>
        </w:tabs>
        <w:bidi w:val="0"/>
        <w:spacing w:before="0" w:after="0" w:line="262" w:lineRule="auto"/>
        <w:ind w:left="0" w:right="0" w:firstLine="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faktur je 30 dní ode dne doručení.</w:t>
      </w:r>
    </w:p>
    <w:p>
      <w:pPr>
        <w:pStyle w:val="Style2"/>
        <w:keepNext w:val="0"/>
        <w:keepLines w:val="0"/>
        <w:widowControl w:val="0"/>
        <w:numPr>
          <w:ilvl w:val="0"/>
          <w:numId w:val="11"/>
        </w:numPr>
        <w:shd w:val="clear" w:color="auto" w:fill="auto"/>
        <w:tabs>
          <w:tab w:pos="378" w:val="left"/>
        </w:tabs>
        <w:bidi w:val="0"/>
        <w:spacing w:before="0" w:after="0" w:line="262" w:lineRule="auto"/>
        <w:ind w:left="0" w:right="0" w:firstLine="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Daňové doklady musí obsahovat všechny náležitosti podle platného zákona o DPH.</w:t>
      </w:r>
    </w:p>
    <w:p>
      <w:pPr>
        <w:pStyle w:val="Style2"/>
        <w:keepNext w:val="0"/>
        <w:keepLines w:val="0"/>
        <w:widowControl w:val="0"/>
        <w:numPr>
          <w:ilvl w:val="0"/>
          <w:numId w:val="11"/>
        </w:numPr>
        <w:shd w:val="clear" w:color="auto" w:fill="auto"/>
        <w:tabs>
          <w:tab w:pos="378" w:val="left"/>
        </w:tabs>
        <w:bidi w:val="0"/>
        <w:spacing w:before="0" w:after="0" w:line="262" w:lineRule="auto"/>
        <w:ind w:left="320" w:right="0" w:hanging="32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nebo chybných údajů na daňovém dokladu vrátí objednatel zhotoviteli daňový doklad k opravě. Lhůta pro placení se pak počítá od doby vrácení opraveného daňového dokladu objednateli.</w:t>
      </w:r>
    </w:p>
    <w:p>
      <w:pPr>
        <w:pStyle w:val="Style2"/>
        <w:keepNext w:val="0"/>
        <w:keepLines w:val="0"/>
        <w:widowControl w:val="0"/>
        <w:numPr>
          <w:ilvl w:val="0"/>
          <w:numId w:val="11"/>
        </w:numPr>
        <w:shd w:val="clear" w:color="auto" w:fill="auto"/>
        <w:tabs>
          <w:tab w:pos="378" w:val="left"/>
        </w:tabs>
        <w:bidi w:val="0"/>
        <w:spacing w:before="0" w:after="0" w:line="262" w:lineRule="auto"/>
        <w:ind w:left="320" w:right="0" w:hanging="32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Platby budou probíhat bezhotovostní formou na bankovní účet zhotovitele uvedený v této smlouvě.</w:t>
      </w:r>
    </w:p>
    <w:p>
      <w:pPr>
        <w:pStyle w:val="Style2"/>
        <w:keepNext w:val="0"/>
        <w:keepLines w:val="0"/>
        <w:widowControl w:val="0"/>
        <w:numPr>
          <w:ilvl w:val="0"/>
          <w:numId w:val="11"/>
        </w:numPr>
        <w:shd w:val="clear" w:color="auto" w:fill="auto"/>
        <w:tabs>
          <w:tab w:pos="378" w:val="left"/>
        </w:tabs>
        <w:bidi w:val="0"/>
        <w:spacing w:before="0" w:after="120" w:line="262" w:lineRule="auto"/>
        <w:ind w:left="320" w:right="0" w:hanging="32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Zjištěné rozdíly plnění oproti specifikovaným pracím a finančním nákladům na jednotlivé akce této Smlouvy budou řešeny příslušným písemným dodatkem.</w:t>
      </w:r>
    </w:p>
    <w:p>
      <w:pPr>
        <w:pStyle w:val="Style10"/>
        <w:keepNext/>
        <w:keepLines/>
        <w:widowControl w:val="0"/>
        <w:numPr>
          <w:ilvl w:val="0"/>
          <w:numId w:val="1"/>
        </w:numPr>
        <w:shd w:val="clear" w:color="auto" w:fill="auto"/>
        <w:tabs>
          <w:tab w:pos="813" w:val="left"/>
        </w:tabs>
        <w:bidi w:val="0"/>
        <w:spacing w:before="0" w:line="240" w:lineRule="auto"/>
        <w:ind w:left="0" w:right="0" w:firstLine="0"/>
        <w:jc w:val="both"/>
      </w:pPr>
      <w:bookmarkStart w:id="42" w:name="bookmark42"/>
      <w:bookmarkStart w:id="43" w:name="bookmark43"/>
      <w:bookmarkStart w:id="44" w:name="bookmark44"/>
      <w:bookmarkStart w:id="45" w:name="bookmark45"/>
      <w:bookmarkEnd w:id="44"/>
      <w:r>
        <w:rPr>
          <w:rFonts w:ascii="Times New Roman" w:eastAsia="Times New Roman" w:hAnsi="Times New Roman" w:cs="Times New Roman"/>
          <w:color w:val="000000"/>
          <w:spacing w:val="0"/>
          <w:w w:val="100"/>
          <w:position w:val="0"/>
          <w:shd w:val="clear" w:color="auto" w:fill="auto"/>
          <w:lang w:val="cs-CZ" w:eastAsia="cs-CZ" w:bidi="cs-CZ"/>
        </w:rPr>
        <w:t>SANKČNÍ UJEDNÁNÍ</w:t>
      </w:r>
      <w:bookmarkEnd w:id="42"/>
      <w:bookmarkEnd w:id="43"/>
      <w:bookmarkEnd w:id="45"/>
    </w:p>
    <w:p>
      <w:pPr>
        <w:pStyle w:val="Style2"/>
        <w:keepNext w:val="0"/>
        <w:keepLines w:val="0"/>
        <w:widowControl w:val="0"/>
        <w:numPr>
          <w:ilvl w:val="0"/>
          <w:numId w:val="13"/>
        </w:numPr>
        <w:shd w:val="clear" w:color="auto" w:fill="auto"/>
        <w:tabs>
          <w:tab w:pos="378" w:val="left"/>
        </w:tabs>
        <w:bidi w:val="0"/>
        <w:spacing w:before="0" w:after="0" w:line="262" w:lineRule="auto"/>
        <w:ind w:left="320" w:right="0" w:hanging="32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termínu předání díla zaplatí zhotovitel objednateli smluvní pokutu ve výši 0,3 % z ceny díla za každý i započatý kalendářní den prodlení.</w:t>
      </w:r>
    </w:p>
    <w:p>
      <w:pPr>
        <w:pStyle w:val="Style2"/>
        <w:keepNext w:val="0"/>
        <w:keepLines w:val="0"/>
        <w:widowControl w:val="0"/>
        <w:numPr>
          <w:ilvl w:val="0"/>
          <w:numId w:val="13"/>
        </w:numPr>
        <w:shd w:val="clear" w:color="auto" w:fill="auto"/>
        <w:tabs>
          <w:tab w:pos="378" w:val="left"/>
        </w:tabs>
        <w:bidi w:val="0"/>
        <w:spacing w:before="0" w:after="0" w:line="262" w:lineRule="auto"/>
        <w:ind w:left="320" w:right="0" w:hanging="32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finančního plnění k datu postupového termínu ve výši 50 % ceny díla zaplatí zhotovitel objednateli smluvní pokutu ve výši 0,3 % z 50 % ceny díla za každý i započatý kalendářní den prodlení.</w:t>
      </w:r>
    </w:p>
    <w:p>
      <w:pPr>
        <w:pStyle w:val="Style2"/>
        <w:keepNext w:val="0"/>
        <w:keepLines w:val="0"/>
        <w:widowControl w:val="0"/>
        <w:numPr>
          <w:ilvl w:val="0"/>
          <w:numId w:val="13"/>
        </w:numPr>
        <w:shd w:val="clear" w:color="auto" w:fill="auto"/>
        <w:tabs>
          <w:tab w:pos="378" w:val="left"/>
        </w:tabs>
        <w:bidi w:val="0"/>
        <w:spacing w:before="0" w:after="0" w:line="262" w:lineRule="auto"/>
        <w:ind w:left="320" w:right="0" w:hanging="32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termínu splatnosti faktury zaplatí objednatel zhotoviteli úrok z prodlení ve výši 0,3 % z dlužné částky za každý i započatý kalendářní den prodlení.</w:t>
      </w:r>
    </w:p>
    <w:p>
      <w:pPr>
        <w:pStyle w:val="Style2"/>
        <w:keepNext w:val="0"/>
        <w:keepLines w:val="0"/>
        <w:widowControl w:val="0"/>
        <w:numPr>
          <w:ilvl w:val="0"/>
          <w:numId w:val="13"/>
        </w:numPr>
        <w:shd w:val="clear" w:color="auto" w:fill="auto"/>
        <w:tabs>
          <w:tab w:pos="378" w:val="left"/>
        </w:tabs>
        <w:bidi w:val="0"/>
        <w:spacing w:before="0" w:after="260" w:line="262" w:lineRule="auto"/>
        <w:ind w:left="320" w:right="0" w:hanging="32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Sankce se nevztahují na případy, kdy prodlení nebo jiné porušení povinností bylo způsobeno okolnostmi vylučujícími odpovědnost ve smyslu § 2913 odst. 2), pokud nesplnění povinnosti bylo způsobeno jednáním druhé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w:t>
      </w:r>
      <w:r>
        <w:rPr>
          <w:rFonts w:ascii="Times New Roman" w:eastAsia="Times New Roman" w:hAnsi="Times New Roman" w:cs="Times New Roman"/>
          <w:color w:val="000000"/>
          <w:spacing w:val="0"/>
          <w:w w:val="100"/>
          <w:position w:val="0"/>
          <w:sz w:val="24"/>
          <w:szCs w:val="24"/>
          <w:shd w:val="clear" w:color="auto" w:fill="auto"/>
          <w:lang w:val="cs-CZ" w:eastAsia="cs-CZ" w:bidi="cs-CZ"/>
        </w:rPr>
        <w:t>a v jejich důsledku nebylo možné smlouvu dodržet (např. změny obecně závazných právních předpisů, směrnic či obdobných podmínek, živelné pohromy, teroristický čin apod.).</w:t>
      </w:r>
    </w:p>
    <w:p>
      <w:pPr>
        <w:pStyle w:val="Style10"/>
        <w:keepNext/>
        <w:keepLines/>
        <w:widowControl w:val="0"/>
        <w:numPr>
          <w:ilvl w:val="0"/>
          <w:numId w:val="1"/>
        </w:numPr>
        <w:shd w:val="clear" w:color="auto" w:fill="auto"/>
        <w:tabs>
          <w:tab w:pos="854" w:val="left"/>
        </w:tabs>
        <w:bidi w:val="0"/>
        <w:spacing w:before="0" w:line="240" w:lineRule="auto"/>
        <w:ind w:left="0" w:right="0" w:firstLine="0"/>
        <w:jc w:val="both"/>
      </w:pPr>
      <w:bookmarkStart w:id="50" w:name="bookmark50"/>
      <w:bookmarkStart w:id="51" w:name="bookmark51"/>
      <w:bookmarkStart w:id="52" w:name="bookmark52"/>
      <w:bookmarkStart w:id="53" w:name="bookmark53"/>
      <w:bookmarkEnd w:id="52"/>
      <w:r>
        <w:rPr>
          <w:rFonts w:ascii="Times New Roman" w:eastAsia="Times New Roman" w:hAnsi="Times New Roman" w:cs="Times New Roman"/>
          <w:color w:val="000000"/>
          <w:spacing w:val="0"/>
          <w:w w:val="100"/>
          <w:position w:val="0"/>
          <w:shd w:val="clear" w:color="auto" w:fill="auto"/>
          <w:lang w:val="cs-CZ" w:eastAsia="cs-CZ" w:bidi="cs-CZ"/>
        </w:rPr>
        <w:t>DALŠÍ UJEDNÁNÍ</w:t>
      </w:r>
      <w:bookmarkEnd w:id="50"/>
      <w:bookmarkEnd w:id="51"/>
      <w:bookmarkEnd w:id="53"/>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zajistí pracovníkům zhotovitele přístup na objekty a předá rizika vztahujících se k bezpečnosti a ochraně zdraví osob na vodním díle vyplývajících z prací a technologických postupů prováděných zhotovitelem i všemi poddodavateli, v souladu s § 101 odst. 3 zákona č. 262/2006 Sb., zákoník práce, ve znění pozdějších předpisů.</w:t>
      </w:r>
    </w:p>
    <w:p>
      <w:pPr>
        <w:pStyle w:val="Style2"/>
        <w:keepNext w:val="0"/>
        <w:keepLines w:val="0"/>
        <w:widowControl w:val="0"/>
        <w:numPr>
          <w:ilvl w:val="0"/>
          <w:numId w:val="15"/>
        </w:numPr>
        <w:shd w:val="clear" w:color="auto" w:fill="auto"/>
        <w:tabs>
          <w:tab w:pos="368" w:val="left"/>
        </w:tabs>
        <w:bidi w:val="0"/>
        <w:spacing w:before="0" w:after="0" w:line="262" w:lineRule="auto"/>
        <w:ind w:left="400" w:right="0" w:hanging="40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Pokud není ve smlouvě uvedeno jinak, řídí se všechny vztahy mezi smluvními stranami ustanoveními občanského zákoníku. Veškeré změny a dodatky této smlouvy mohou být prováděny pouze po dohodě obou smluvních stran, a to formou číslovaného písemného dodatku řádně podepsaného oprávněnými zástupci obou smluvních stran. Případné změny kontaktních osob či telefonických nebo faxových spojení se považují za změněné dnem doručení doporučeného dopisu oznamujícího tuto změnu druhé smluvní straně.</w:t>
      </w:r>
    </w:p>
    <w:p>
      <w:pPr>
        <w:pStyle w:val="Style2"/>
        <w:keepNext w:val="0"/>
        <w:keepLines w:val="0"/>
        <w:widowControl w:val="0"/>
        <w:numPr>
          <w:ilvl w:val="0"/>
          <w:numId w:val="15"/>
        </w:numPr>
        <w:shd w:val="clear" w:color="auto" w:fill="auto"/>
        <w:tabs>
          <w:tab w:pos="368" w:val="left"/>
        </w:tabs>
        <w:bidi w:val="0"/>
        <w:spacing w:before="0" w:after="0" w:line="262" w:lineRule="auto"/>
        <w:ind w:left="400" w:right="0" w:hanging="40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15"/>
        </w:numPr>
        <w:shd w:val="clear" w:color="auto" w:fill="auto"/>
        <w:tabs>
          <w:tab w:pos="368" w:val="left"/>
        </w:tabs>
        <w:bidi w:val="0"/>
        <w:spacing w:before="0" w:after="0" w:line="262" w:lineRule="auto"/>
        <w:ind w:left="400" w:right="0" w:hanging="40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59" w:name="bookmark59"/>
      <w:bookmarkEnd w:id="5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5"/>
        </w:numPr>
        <w:shd w:val="clear" w:color="auto" w:fill="auto"/>
        <w:tabs>
          <w:tab w:pos="368" w:val="left"/>
        </w:tabs>
        <w:bidi w:val="0"/>
        <w:spacing w:before="0" w:after="0" w:line="240" w:lineRule="auto"/>
        <w:ind w:left="400" w:right="0" w:hanging="400"/>
        <w:jc w:val="both"/>
      </w:pPr>
      <w:bookmarkStart w:id="62" w:name="bookmark62"/>
      <w:bookmarkEnd w:id="62"/>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 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5"/>
        </w:numPr>
        <w:shd w:val="clear" w:color="auto" w:fill="auto"/>
        <w:tabs>
          <w:tab w:pos="438" w:val="left"/>
        </w:tabs>
        <w:bidi w:val="0"/>
        <w:spacing w:before="0" w:after="0" w:line="240" w:lineRule="auto"/>
        <w:ind w:left="400" w:right="0" w:hanging="40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Smluvní strany se dále zavazují navzájem si neprodleně oznámit důvodné podezření ohledně možného naplnění skutkové podstaty jakéhokoli z trestných činů v souvislosti s touto smlouvou, zejména trestného činu korupční povahy, a to bez ohledu a nad rámec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případné zákonné oznamovací povinnosti; obdobné platí ve vztahu k jednání, které je v rozporu se zásadami vyjádřenými v tomto článku.</w:t>
      </w:r>
    </w:p>
    <w:p>
      <w:pPr>
        <w:pStyle w:val="Style2"/>
        <w:keepNext w:val="0"/>
        <w:keepLines w:val="0"/>
        <w:widowControl w:val="0"/>
        <w:numPr>
          <w:ilvl w:val="0"/>
          <w:numId w:val="15"/>
        </w:numPr>
        <w:shd w:val="clear" w:color="auto" w:fill="auto"/>
        <w:tabs>
          <w:tab w:pos="498" w:val="left"/>
        </w:tabs>
        <w:bidi w:val="0"/>
        <w:spacing w:before="0" w:after="0" w:line="240" w:lineRule="auto"/>
        <w:ind w:left="0" w:right="0" w:firstLine="0"/>
        <w:jc w:val="both"/>
      </w:pPr>
      <w:bookmarkStart w:id="64" w:name="bookmark64"/>
      <w:bookmarkEnd w:id="6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5"/>
        </w:numPr>
        <w:shd w:val="clear" w:color="auto" w:fill="auto"/>
        <w:tabs>
          <w:tab w:pos="498" w:val="left"/>
        </w:tabs>
        <w:bidi w:val="0"/>
        <w:spacing w:before="0" w:after="0" w:line="240" w:lineRule="auto"/>
        <w:ind w:left="0" w:right="0" w:firstLine="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0" w:line="240" w:lineRule="auto"/>
        <w:ind w:left="400" w:right="0" w:firstLine="0"/>
        <w:jc w:val="both"/>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 udaju/d-1369/p1=1459</w:t>
      </w:r>
      <w:r>
        <w:fldChar w:fldCharType="end"/>
      </w: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p>
      <w:pPr>
        <w:pStyle w:val="Style20"/>
        <w:keepNext/>
        <w:keepLines/>
        <w:widowControl w:val="0"/>
        <w:numPr>
          <w:ilvl w:val="0"/>
          <w:numId w:val="15"/>
        </w:numPr>
        <w:shd w:val="clear" w:color="auto" w:fill="auto"/>
        <w:tabs>
          <w:tab w:pos="498" w:val="left"/>
        </w:tabs>
        <w:bidi w:val="0"/>
        <w:spacing w:before="0" w:line="240" w:lineRule="auto"/>
        <w:ind w:right="0"/>
        <w:jc w:val="both"/>
      </w:pPr>
      <w:bookmarkStart w:id="66" w:name="bookmark66"/>
      <w:bookmarkStart w:id="67" w:name="bookmark67"/>
      <w:bookmarkStart w:id="68" w:name="bookmark68"/>
      <w:bookmarkStart w:id="69" w:name="bookmark69"/>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podpisem této smlouvy přebírá povinnosti uvedené v Čestném prohlášení o zajištění sociálně odpovědného plnění předmětu veřejné zakázky, které je součástí nabídky objednatele podané v rámci Veřejné zakázky. Zhotovitel je oprávněn plnění těchto povinností kdykoliv kontrolovat, a to i bez předchozího ohlášení objednateli. Je-li k provedení kontroly potřeba předložení dokumentů, zavazuje se objednatel k jejich předložení nejpozději do 2 pracovních dnů od doručení výzvy zhotovitele.</w:t>
      </w:r>
      <w:bookmarkEnd w:id="66"/>
      <w:bookmarkEnd w:id="67"/>
      <w:bookmarkEnd w:id="69"/>
    </w:p>
    <w:p>
      <w:pPr>
        <w:pStyle w:val="Style20"/>
        <w:keepNext/>
        <w:keepLines/>
        <w:widowControl w:val="0"/>
        <w:numPr>
          <w:ilvl w:val="0"/>
          <w:numId w:val="15"/>
        </w:numPr>
        <w:shd w:val="clear" w:color="auto" w:fill="auto"/>
        <w:tabs>
          <w:tab w:pos="498" w:val="left"/>
        </w:tabs>
        <w:bidi w:val="0"/>
        <w:spacing w:before="0" w:line="240" w:lineRule="auto"/>
        <w:ind w:right="0"/>
        <w:jc w:val="both"/>
      </w:pPr>
      <w:bookmarkStart w:id="70" w:name="bookmark70"/>
      <w:bookmarkStart w:id="71" w:name="bookmark71"/>
      <w:bookmarkStart w:id="72" w:name="bookmark72"/>
      <w:bookmarkStart w:id="73" w:name="bookmark73"/>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Na svědectví tohoto smluvní strany tímto podepisují smlouvu. Tato smlouva je vyhotovena ve třech vyhotoveních, z nichž každé má platnost originálu. Po jejím podepsání obdrží objednatel dva a zhotovitel jeden výtisk.</w:t>
      </w:r>
      <w:bookmarkEnd w:id="70"/>
      <w:bookmarkEnd w:id="71"/>
      <w:bookmarkEnd w:id="73"/>
    </w:p>
    <w:p>
      <w:pPr>
        <w:pStyle w:val="Style20"/>
        <w:keepNext/>
        <w:keepLines/>
        <w:widowControl w:val="0"/>
        <w:numPr>
          <w:ilvl w:val="0"/>
          <w:numId w:val="15"/>
        </w:numPr>
        <w:shd w:val="clear" w:color="auto" w:fill="auto"/>
        <w:tabs>
          <w:tab w:pos="498" w:val="left"/>
        </w:tabs>
        <w:bidi w:val="0"/>
        <w:spacing w:before="0" w:after="340" w:line="240" w:lineRule="auto"/>
        <w:ind w:right="0"/>
        <w:jc w:val="both"/>
      </w:pPr>
      <w:bookmarkStart w:id="74" w:name="bookmark74"/>
      <w:bookmarkStart w:id="75" w:name="bookmark75"/>
      <w:bookmarkStart w:id="76" w:name="bookmark76"/>
      <w:bookmarkStart w:id="77" w:name="bookmark77"/>
      <w:bookmarkEnd w:id="76"/>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4"/>
      <w:bookmarkEnd w:id="75"/>
      <w:bookmarkEnd w:id="77"/>
    </w:p>
    <w:p>
      <w:pPr>
        <w:pStyle w:val="Style20"/>
        <w:keepNext/>
        <w:keepLines/>
        <w:widowControl w:val="0"/>
        <w:shd w:val="clear" w:color="auto" w:fill="auto"/>
        <w:bidi w:val="0"/>
        <w:spacing w:before="0" w:line="240" w:lineRule="auto"/>
        <w:ind w:left="0" w:right="0" w:firstLine="400"/>
        <w:jc w:val="both"/>
      </w:pPr>
      <w:bookmarkStart w:id="78" w:name="bookmark78"/>
      <w:bookmarkStart w:id="79" w:name="bookmark79"/>
      <w:bookmarkStart w:id="80" w:name="bookmark80"/>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1)Tato smlouva</w:t>
      </w:r>
      <w:bookmarkEnd w:id="78"/>
      <w:bookmarkEnd w:id="79"/>
      <w:bookmarkEnd w:id="80"/>
    </w:p>
    <w:p>
      <w:pPr>
        <w:pStyle w:val="Style20"/>
        <w:keepNext/>
        <w:keepLines/>
        <w:widowControl w:val="0"/>
        <w:shd w:val="clear" w:color="auto" w:fill="auto"/>
        <w:bidi w:val="0"/>
        <w:spacing w:before="0" w:line="240" w:lineRule="auto"/>
        <w:ind w:left="0" w:right="0" w:firstLine="400"/>
        <w:jc w:val="both"/>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2) Příloha č.1: Soupis prací</w:t>
      </w:r>
      <w:bookmarkEnd w:id="81"/>
      <w:bookmarkEnd w:id="82"/>
      <w:bookmarkEnd w:id="83"/>
    </w:p>
    <w:p>
      <w:pPr>
        <w:pStyle w:val="Style20"/>
        <w:keepNext/>
        <w:keepLines/>
        <w:widowControl w:val="0"/>
        <w:shd w:val="clear" w:color="auto" w:fill="auto"/>
        <w:bidi w:val="0"/>
        <w:spacing w:before="0" w:line="240" w:lineRule="auto"/>
        <w:ind w:right="0" w:firstLine="0"/>
        <w:jc w:val="both"/>
      </w:pPr>
      <w:bookmarkStart w:id="84" w:name="bookmark84"/>
      <w:bookmarkStart w:id="85" w:name="bookmark85"/>
      <w:bookmarkStart w:id="86" w:name="bookmark86"/>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č.2: Čestné prohlášení o společensky odpovědném plnění veřejné zakázky.</w:t>
      </w:r>
      <w:bookmarkEnd w:id="84"/>
      <w:bookmarkEnd w:id="85"/>
      <w:bookmarkEnd w:id="86"/>
    </w:p>
    <w:p>
      <w:pPr>
        <w:pStyle w:val="Style20"/>
        <w:keepNext/>
        <w:keepLines/>
        <w:widowControl w:val="0"/>
        <w:shd w:val="clear" w:color="auto" w:fill="auto"/>
        <w:bidi w:val="0"/>
        <w:spacing w:before="0" w:line="240" w:lineRule="auto"/>
        <w:ind w:right="0" w:firstLine="0"/>
        <w:jc w:val="both"/>
      </w:pPr>
      <w:bookmarkStart w:id="87" w:name="bookmark87"/>
      <w:bookmarkStart w:id="88" w:name="bookmark88"/>
      <w:bookmarkStart w:id="89" w:name="bookmark89"/>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č.3: Čestné prohlášení k finančním sankcím</w:t>
      </w:r>
      <w:bookmarkEnd w:id="87"/>
      <w:bookmarkEnd w:id="88"/>
      <w:bookmarkEnd w:id="89"/>
    </w:p>
    <w:p>
      <w:pPr>
        <w:pStyle w:val="Style20"/>
        <w:keepNext/>
        <w:keepLines/>
        <w:widowControl w:val="0"/>
        <w:shd w:val="clear" w:color="auto" w:fill="auto"/>
        <w:bidi w:val="0"/>
        <w:spacing w:before="0" w:line="240" w:lineRule="auto"/>
        <w:ind w:right="0" w:firstLine="0"/>
        <w:jc w:val="both"/>
      </w:pPr>
      <w:bookmarkStart w:id="90" w:name="bookmark90"/>
      <w:bookmarkStart w:id="91" w:name="bookmark91"/>
      <w:bookmarkStart w:id="92" w:name="bookmark92"/>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č.4: Čestné prohlášení o neexistenci střetu zájmů</w:t>
      </w:r>
      <w:bookmarkEnd w:id="90"/>
      <w:bookmarkEnd w:id="91"/>
      <w:bookmarkEnd w:id="92"/>
    </w:p>
    <w:p>
      <w:pPr>
        <w:pStyle w:val="Style20"/>
        <w:keepNext/>
        <w:keepLines/>
        <w:widowControl w:val="0"/>
        <w:shd w:val="clear" w:color="auto" w:fill="auto"/>
        <w:bidi w:val="0"/>
        <w:spacing w:before="0" w:after="720" w:line="240" w:lineRule="auto"/>
        <w:ind w:right="0" w:firstLine="0"/>
        <w:jc w:val="both"/>
      </w:pPr>
      <w:bookmarkStart w:id="93" w:name="bookmark93"/>
      <w:bookmarkStart w:id="94" w:name="bookmark94"/>
      <w:bookmarkStart w:id="95" w:name="bookmark95"/>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Příloha č.5: Čestné prohlášení o splnění požadavků veřejné zakázky k rozsahu činností dodavatele.</w:t>
      </w:r>
      <w:bookmarkEnd w:id="93"/>
      <w:bookmarkEnd w:id="94"/>
      <w:bookmarkEnd w:id="95"/>
    </w:p>
    <w:tbl>
      <w:tblPr>
        <w:tblOverlap w:val="never"/>
        <w:jc w:val="center"/>
        <w:tblLayout w:type="fixed"/>
      </w:tblPr>
      <w:tblGrid>
        <w:gridCol w:w="4819"/>
        <w:gridCol w:w="4166"/>
      </w:tblGrid>
      <w:tr>
        <w:trPr>
          <w:trHeight w:val="480"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Praze dne:</w:t>
            </w:r>
          </w:p>
        </w:tc>
      </w:tr>
      <w:tr>
        <w:trPr>
          <w:trHeight w:val="56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c>
      </w:tr>
    </w:tbl>
    <w:sectPr>
      <w:headerReference w:type="default" r:id="rId5"/>
      <w:footerReference w:type="default" r:id="rId6"/>
      <w:footnotePr>
        <w:pos w:val="pageBottom"/>
        <w:numFmt w:val="decimal"/>
        <w:numRestart w:val="continuous"/>
      </w:footnotePr>
      <w:pgSz w:w="11909" w:h="16838"/>
      <w:pgMar w:top="1296" w:left="1655" w:right="1066" w:bottom="1603"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3912870</wp:posOffset>
              </wp:positionH>
              <wp:positionV relativeFrom="page">
                <wp:posOffset>9744075</wp:posOffset>
              </wp:positionV>
              <wp:extent cx="67310" cy="189230"/>
              <wp:wrapNone/>
              <wp:docPr id="4" name="Shape 4"/>
              <a:graphic xmlns:a="http://schemas.openxmlformats.org/drawingml/2006/main">
                <a:graphicData uri="http://schemas.microsoft.com/office/word/2010/wordprocessingShape">
                  <wps:wsp>
                    <wps:cNvSpPr txBox="1"/>
                    <wps:spPr>
                      <a:xfrm>
                        <a:ext cx="6731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0" type="#_x0000_t202" style="position:absolute;margin-left:308.10000000000002pt;margin-top:767.25pt;width:5.2999999999999998pt;height:14.9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1115060</wp:posOffset>
              </wp:positionH>
              <wp:positionV relativeFrom="page">
                <wp:posOffset>441960</wp:posOffset>
              </wp:positionV>
              <wp:extent cx="4645025" cy="170815"/>
              <wp:wrapNone/>
              <wp:docPr id="1" name="Shape 1"/>
              <a:graphic xmlns:a="http://schemas.openxmlformats.org/drawingml/2006/main">
                <a:graphicData uri="http://schemas.microsoft.com/office/word/2010/wordprocessingShape">
                  <wps:wsp>
                    <wps:cNvSpPr txBox="1"/>
                    <wps:spPr>
                      <a:xfrm>
                        <a:ext cx="4645025" cy="170815"/>
                      </a:xfrm>
                      <a:prstGeom prst="rect"/>
                      <a:noFill/>
                    </wps:spPr>
                    <wps:txbx>
                      <w:txbxContent>
                        <w:p>
                          <w:pPr>
                            <w:pStyle w:val="Style6"/>
                            <w:keepNext w:val="0"/>
                            <w:keepLines w:val="0"/>
                            <w:widowControl w:val="0"/>
                            <w:shd w:val="clear" w:color="auto" w:fill="auto"/>
                            <w:tabs>
                              <w:tab w:pos="7315" w:val="righ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objednatele:</w:t>
                            <w:tab/>
                            <w:t>Číslo zhotovitele: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7.799999999999997pt;margin-top:34.800000000000004pt;width:365.75pt;height:13.450000000000001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7315" w:val="righ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objednatele:</w:t>
                      <w:tab/>
                      <w:t>Číslo zhotovitele: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1066165</wp:posOffset>
              </wp:positionH>
              <wp:positionV relativeFrom="page">
                <wp:posOffset>723265</wp:posOffset>
              </wp:positionV>
              <wp:extent cx="5757545" cy="0"/>
              <wp:wrapNone/>
              <wp:docPr id="3" name="Shape 3"/>
              <a:graphic xmlns:a="http://schemas.openxmlformats.org/drawingml/2006/main">
                <a:graphicData uri="http://schemas.microsoft.com/office/word/2010/wordprocessingShape">
                  <wps:wsp>
                    <wps:cNvCnPr/>
                    <wps:spPr>
                      <a:xfrm>
                        <a:ext cx="5757545" cy="0"/>
                      </a:xfrm>
                      <a:prstGeom prst="straightConnector1"/>
                      <a:ln w="12700">
                        <a:solidFill/>
                      </a:ln>
                    </wps:spPr>
                    <wps:bodyPr/>
                  </wps:wsp>
                </a:graphicData>
              </a:graphic>
            </wp:anchor>
          </w:drawing>
        </mc:Choice>
        <mc:Fallback>
          <w:pict>
            <v:shape o:spt="32" o:oned="true" path="m,l21600,21600e" style="position:absolute;margin-left:83.950000000000003pt;margin-top:56.950000000000003pt;width:453.35000000000002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b/>
      <w:bCs/>
      <w:i w:val="0"/>
      <w:iCs w:val="0"/>
      <w:smallCaps w:val="0"/>
      <w:strike w:val="0"/>
      <w:sz w:val="28"/>
      <w:szCs w:val="28"/>
      <w:u w:val="none"/>
    </w:rPr>
  </w:style>
  <w:style w:type="character" w:customStyle="1" w:styleId="CharStyle13">
    <w:name w:val="Char Style 13"/>
    <w:basedOn w:val="DefaultParagraphFont"/>
    <w:link w:val="Style12"/>
    <w:rPr>
      <w:b w:val="0"/>
      <w:bCs w:val="0"/>
      <w:i w:val="0"/>
      <w:iCs w:val="0"/>
      <w:smallCaps w:val="0"/>
      <w:strike w:val="0"/>
      <w:u w:val="none"/>
    </w:rPr>
  </w:style>
  <w:style w:type="character" w:customStyle="1" w:styleId="CharStyle16">
    <w:name w:val="Char Style 16"/>
    <w:basedOn w:val="DefaultParagraphFont"/>
    <w:link w:val="Style15"/>
    <w:rPr>
      <w:b/>
      <w:bCs/>
      <w:i w:val="0"/>
      <w:iCs w:val="0"/>
      <w:smallCaps w:val="0"/>
      <w:strike w:val="0"/>
      <w:u w:val="none"/>
    </w:rPr>
  </w:style>
  <w:style w:type="character" w:customStyle="1" w:styleId="CharStyle21">
    <w:name w:val="Char Style 21"/>
    <w:basedOn w:val="DefaultParagraphFont"/>
    <w:link w:val="Style20"/>
    <w:rPr>
      <w:b w:val="0"/>
      <w:bCs w:val="0"/>
      <w:i w:val="0"/>
      <w:iCs w:val="0"/>
      <w:smallCaps w:val="0"/>
      <w:strike w:val="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20"/>
      <w:outlineLvl w:val="0"/>
    </w:pPr>
    <w:rPr>
      <w:b/>
      <w:bCs/>
      <w:i w:val="0"/>
      <w:iCs w:val="0"/>
      <w:smallCaps w:val="0"/>
      <w:strike w:val="0"/>
      <w:sz w:val="28"/>
      <w:szCs w:val="28"/>
      <w:u w:val="none"/>
    </w:rPr>
  </w:style>
  <w:style w:type="paragraph" w:customStyle="1" w:styleId="Style12">
    <w:name w:val="Style 12"/>
    <w:basedOn w:val="Normal"/>
    <w:link w:val="CharStyle13"/>
    <w:pPr>
      <w:widowControl w:val="0"/>
      <w:shd w:val="clear" w:color="auto" w:fill="FFFFFF"/>
    </w:pPr>
    <w:rPr>
      <w:b w:val="0"/>
      <w:bCs w:val="0"/>
      <w:i w:val="0"/>
      <w:iCs w:val="0"/>
      <w:smallCaps w:val="0"/>
      <w:strike w:val="0"/>
      <w:u w:val="none"/>
    </w:rPr>
  </w:style>
  <w:style w:type="paragraph" w:customStyle="1" w:styleId="Style15">
    <w:name w:val="Style 15"/>
    <w:basedOn w:val="Normal"/>
    <w:link w:val="CharStyle16"/>
    <w:pPr>
      <w:widowControl w:val="0"/>
      <w:shd w:val="clear" w:color="auto" w:fill="FFFFFF"/>
    </w:pPr>
    <w:rPr>
      <w:b/>
      <w:bCs/>
      <w:i w:val="0"/>
      <w:iCs w:val="0"/>
      <w:smallCaps w:val="0"/>
      <w:strike w:val="0"/>
      <w:u w:val="none"/>
    </w:rPr>
  </w:style>
  <w:style w:type="paragraph" w:customStyle="1" w:styleId="Style20">
    <w:name w:val="Style 20"/>
    <w:basedOn w:val="Normal"/>
    <w:link w:val="CharStyle21"/>
    <w:pPr>
      <w:widowControl w:val="0"/>
      <w:shd w:val="clear" w:color="auto" w:fill="FFFFFF"/>
      <w:spacing w:after="60"/>
      <w:ind w:left="400" w:hanging="400"/>
      <w:outlineLvl w:val="1"/>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veze 01/2010</dc:subject>
  <dc:creator>Ing. Petra Suchopárková</dc:creator>
  <cp:keywords/>
</cp:coreProperties>
</file>