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79" w:lineRule="exact"/>
        <w:rPr>
          <w:sz w:val="14"/>
          <w:szCs w:val="14"/>
        </w:rPr>
      </w:pPr>
    </w:p>
    <w:p>
      <w:pPr>
        <w:widowControl w:val="0"/>
        <w:spacing w:line="1" w:lineRule="exact"/>
        <w:sectPr>
          <w:headerReference w:type="default" r:id="rId5"/>
          <w:footerReference w:type="default" r:id="rId6"/>
          <w:footnotePr>
            <w:pos w:val="pageBottom"/>
            <w:numFmt w:val="decimal"/>
            <w:numRestart w:val="continuous"/>
          </w:footnotePr>
          <w:pgSz w:w="11909" w:h="16838"/>
          <w:pgMar w:top="1098" w:left="1668" w:right="1745" w:bottom="1209" w:header="0" w:footer="3" w:gutter="0"/>
          <w:pgNumType w:start="1"/>
          <w:cols w:space="720"/>
          <w:noEndnote/>
          <w:rtlGutter w:val="0"/>
          <w:docGrid w:linePitch="360"/>
        </w:sectPr>
      </w:pPr>
    </w:p>
    <w:p>
      <w:pPr>
        <w:pStyle w:val="Style6"/>
        <w:keepNext w:val="0"/>
        <w:keepLines w:val="0"/>
        <w:framePr w:w="6475" w:h="1200" w:wrap="none" w:vAnchor="text" w:hAnchor="page" w:x="3022" w:y="21"/>
        <w:widowControl w:val="0"/>
        <w:pBdr>
          <w:bottom w:val="single" w:sz="4" w:space="0" w:color="auto"/>
        </w:pBdr>
        <w:shd w:val="clear" w:color="auto" w:fill="auto"/>
        <w:bidi w:val="0"/>
        <w:spacing w:before="0" w:after="0" w:line="228" w:lineRule="auto"/>
        <w:ind w:left="0" w:right="0" w:firstLine="0"/>
        <w:jc w:val="center"/>
      </w:pPr>
      <w:r>
        <w:rPr>
          <w:rFonts w:ascii="Times New Roman" w:eastAsia="Times New Roman" w:hAnsi="Times New Roman" w:cs="Times New Roman"/>
          <w:b/>
          <w:bCs/>
          <w:color w:val="000000"/>
          <w:spacing w:val="0"/>
          <w:w w:val="100"/>
          <w:position w:val="0"/>
          <w:sz w:val="40"/>
          <w:szCs w:val="40"/>
          <w:shd w:val="clear" w:color="auto" w:fill="auto"/>
          <w:lang w:val="cs-CZ" w:eastAsia="cs-CZ" w:bidi="cs-CZ"/>
        </w:rPr>
        <w:t>S M L O U V A O D Í L O</w:t>
        <w:br/>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uzavřená podle ustanovení § 2586 a násl. zákona č. 89/2012Sb.,</w:t>
        <w:br/>
        <w:t>Občanského zákoníku v platném znění</w:t>
      </w:r>
    </w:p>
    <w:p>
      <w:pPr>
        <w:pStyle w:val="Style6"/>
        <w:keepNext w:val="0"/>
        <w:keepLines w:val="0"/>
        <w:framePr w:w="2990" w:h="389" w:wrap="none" w:vAnchor="text" w:hAnchor="page" w:x="1669" w:y="1484"/>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Číslo objednatele: 1279/2024</w:t>
      </w:r>
    </w:p>
    <w:p>
      <w:pPr>
        <w:pStyle w:val="Style6"/>
        <w:keepNext w:val="0"/>
        <w:keepLines w:val="0"/>
        <w:framePr w:w="1824" w:h="389" w:wrap="none" w:vAnchor="text" w:hAnchor="page" w:x="7011" w:y="1484"/>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Číslo zhotovitele:</w:t>
      </w:r>
    </w:p>
    <w:p>
      <w:pPr>
        <w:pStyle w:val="Style10"/>
        <w:keepNext/>
        <w:keepLines/>
        <w:framePr w:w="3456" w:h="442" w:wrap="none" w:vAnchor="text" w:hAnchor="page" w:x="1669" w:y="2017"/>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rFonts w:ascii="Times New Roman" w:eastAsia="Times New Roman" w:hAnsi="Times New Roman" w:cs="Times New Roman"/>
          <w:color w:val="000000"/>
          <w:spacing w:val="0"/>
          <w:w w:val="100"/>
          <w:position w:val="0"/>
          <w:shd w:val="clear" w:color="auto" w:fill="auto"/>
          <w:lang w:val="cs-CZ" w:eastAsia="cs-CZ" w:bidi="cs-CZ"/>
        </w:rPr>
        <w:t>I. SMLUVNÍ STRANY</w:t>
      </w:r>
      <w:bookmarkEnd w:id="0"/>
      <w:bookmarkEnd w:id="1"/>
      <w:bookmarkEnd w:id="2"/>
    </w:p>
    <w:p>
      <w:pPr>
        <w:pStyle w:val="Style6"/>
        <w:keepNext w:val="0"/>
        <w:keepLines w:val="0"/>
        <w:framePr w:w="3221" w:h="4522" w:wrap="none" w:vAnchor="text" w:hAnchor="page" w:x="1669" w:y="2502"/>
        <w:widowControl w:val="0"/>
        <w:shd w:val="clear" w:color="auto" w:fill="auto"/>
        <w:bidi w:val="0"/>
        <w:spacing w:before="0" w:after="0" w:line="276"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Objednatel:</w:t>
      </w:r>
    </w:p>
    <w:p>
      <w:pPr>
        <w:pStyle w:val="Style6"/>
        <w:keepNext w:val="0"/>
        <w:keepLines w:val="0"/>
        <w:framePr w:w="3221" w:h="4522" w:wrap="none" w:vAnchor="text" w:hAnchor="page" w:x="1669" w:y="2502"/>
        <w:widowControl w:val="0"/>
        <w:shd w:val="clear" w:color="auto" w:fill="auto"/>
        <w:bidi w:val="0"/>
        <w:spacing w:before="0" w:after="0" w:line="276"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Obchodní firma:</w:t>
      </w:r>
    </w:p>
    <w:p>
      <w:pPr>
        <w:pStyle w:val="Style6"/>
        <w:keepNext w:val="0"/>
        <w:keepLines w:val="0"/>
        <w:framePr w:w="3221" w:h="4522" w:wrap="none" w:vAnchor="text" w:hAnchor="page" w:x="1669" w:y="2502"/>
        <w:widowControl w:val="0"/>
        <w:shd w:val="clear" w:color="auto" w:fill="auto"/>
        <w:bidi w:val="0"/>
        <w:spacing w:before="0" w:after="0" w:line="276"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Sídlo:</w:t>
      </w:r>
    </w:p>
    <w:p>
      <w:pPr>
        <w:pStyle w:val="Style6"/>
        <w:keepNext w:val="0"/>
        <w:keepLines w:val="0"/>
        <w:framePr w:w="3221" w:h="4522" w:wrap="none" w:vAnchor="text" w:hAnchor="page" w:x="1669" w:y="2502"/>
        <w:widowControl w:val="0"/>
        <w:shd w:val="clear" w:color="auto" w:fill="auto"/>
        <w:bidi w:val="0"/>
        <w:spacing w:before="0" w:after="240" w:line="276"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Zapsán:</w:t>
      </w:r>
    </w:p>
    <w:p>
      <w:pPr>
        <w:pStyle w:val="Style6"/>
        <w:keepNext w:val="0"/>
        <w:keepLines w:val="0"/>
        <w:framePr w:w="3221" w:h="4522" w:wrap="none" w:vAnchor="text" w:hAnchor="page" w:x="1669" w:y="2502"/>
        <w:widowControl w:val="0"/>
        <w:shd w:val="clear" w:color="auto" w:fill="auto"/>
        <w:bidi w:val="0"/>
        <w:spacing w:before="0" w:after="0" w:line="276"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Statutární orgán objednatele: Zástupce ve věcech smluvních: Zástupce ve věcech technických: IČO:</w:t>
      </w:r>
    </w:p>
    <w:p>
      <w:pPr>
        <w:pStyle w:val="Style6"/>
        <w:keepNext w:val="0"/>
        <w:keepLines w:val="0"/>
        <w:framePr w:w="3221" w:h="4522" w:wrap="none" w:vAnchor="text" w:hAnchor="page" w:x="1669" w:y="2502"/>
        <w:widowControl w:val="0"/>
        <w:shd w:val="clear" w:color="auto" w:fill="auto"/>
        <w:bidi w:val="0"/>
        <w:spacing w:before="0" w:after="0" w:line="276"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w:t>
      </w:r>
    </w:p>
    <w:p>
      <w:pPr>
        <w:pStyle w:val="Style6"/>
        <w:keepNext w:val="0"/>
        <w:keepLines w:val="0"/>
        <w:framePr w:w="3221" w:h="4522" w:wrap="none" w:vAnchor="text" w:hAnchor="page" w:x="1669" w:y="2502"/>
        <w:widowControl w:val="0"/>
        <w:shd w:val="clear" w:color="auto" w:fill="auto"/>
        <w:bidi w:val="0"/>
        <w:spacing w:before="0" w:after="0" w:line="276"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Název a adresa banky:</w:t>
      </w:r>
    </w:p>
    <w:p>
      <w:pPr>
        <w:pStyle w:val="Style6"/>
        <w:keepNext w:val="0"/>
        <w:keepLines w:val="0"/>
        <w:framePr w:w="3221" w:h="4522" w:wrap="none" w:vAnchor="text" w:hAnchor="page" w:x="1669" w:y="2502"/>
        <w:widowControl w:val="0"/>
        <w:shd w:val="clear" w:color="auto" w:fill="auto"/>
        <w:bidi w:val="0"/>
        <w:spacing w:before="0" w:after="0" w:line="276"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Číslo účtu:</w:t>
      </w:r>
    </w:p>
    <w:p>
      <w:pPr>
        <w:pStyle w:val="Style6"/>
        <w:keepNext w:val="0"/>
        <w:keepLines w:val="0"/>
        <w:framePr w:w="3221" w:h="4522" w:wrap="none" w:vAnchor="text" w:hAnchor="page" w:x="1669" w:y="2502"/>
        <w:widowControl w:val="0"/>
        <w:shd w:val="clear" w:color="auto" w:fill="auto"/>
        <w:bidi w:val="0"/>
        <w:spacing w:before="0" w:after="0" w:line="276"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Telefon (fax):</w:t>
      </w:r>
    </w:p>
    <w:p>
      <w:pPr>
        <w:pStyle w:val="Style6"/>
        <w:keepNext w:val="0"/>
        <w:keepLines w:val="0"/>
        <w:framePr w:w="3221" w:h="4522" w:wrap="none" w:vAnchor="text" w:hAnchor="page" w:x="1669" w:y="2502"/>
        <w:widowControl w:val="0"/>
        <w:shd w:val="clear" w:color="auto" w:fill="auto"/>
        <w:bidi w:val="0"/>
        <w:spacing w:before="0" w:after="140" w:line="276"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E-mail:</w:t>
      </w:r>
    </w:p>
    <w:p>
      <w:pPr>
        <w:pStyle w:val="Style6"/>
        <w:keepNext w:val="0"/>
        <w:keepLines w:val="0"/>
        <w:framePr w:w="5069" w:h="1291" w:wrap="none" w:vAnchor="text" w:hAnchor="page" w:x="5096" w:y="2876"/>
        <w:widowControl w:val="0"/>
        <w:shd w:val="clear" w:color="auto" w:fill="auto"/>
        <w:bidi w:val="0"/>
        <w:spacing w:before="0" w:after="0" w:line="240" w:lineRule="auto"/>
        <w:ind w:left="140" w:right="0" w:hanging="14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Povodí Ohře, státní podnik</w:t>
      </w:r>
    </w:p>
    <w:p>
      <w:pPr>
        <w:pStyle w:val="Style6"/>
        <w:keepNext w:val="0"/>
        <w:keepLines w:val="0"/>
        <w:framePr w:w="5069" w:h="1291" w:wrap="none" w:vAnchor="text" w:hAnchor="page" w:x="5096" w:y="2876"/>
        <w:widowControl w:val="0"/>
        <w:shd w:val="clear" w:color="auto" w:fill="auto"/>
        <w:bidi w:val="0"/>
        <w:spacing w:before="0" w:after="0" w:line="240" w:lineRule="auto"/>
        <w:ind w:left="140" w:right="0" w:hanging="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Bezručova 4219, 430 03 Chomutov</w:t>
      </w:r>
    </w:p>
    <w:p>
      <w:pPr>
        <w:pStyle w:val="Style6"/>
        <w:keepNext w:val="0"/>
        <w:keepLines w:val="0"/>
        <w:framePr w:w="5069" w:h="1291" w:wrap="none" w:vAnchor="text" w:hAnchor="page" w:x="5096" w:y="2876"/>
        <w:widowControl w:val="0"/>
        <w:shd w:val="clear" w:color="auto" w:fill="auto"/>
        <w:bidi w:val="0"/>
        <w:spacing w:before="0" w:after="0" w:line="240" w:lineRule="auto"/>
        <w:ind w:left="140" w:right="0" w:hanging="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u Krajského soudu v Ústí n. Labem, oddíl A, vložka č. 13052</w:t>
      </w:r>
    </w:p>
    <w:p>
      <w:pPr>
        <w:pStyle w:val="Style6"/>
        <w:keepNext w:val="0"/>
        <w:keepLines w:val="0"/>
        <w:framePr w:w="2789" w:h="1709" w:wrap="none" w:vAnchor="text" w:hAnchor="page" w:x="1669" w:y="7263"/>
        <w:widowControl w:val="0"/>
        <w:shd w:val="clear" w:color="auto" w:fill="auto"/>
        <w:bidi w:val="0"/>
        <w:spacing w:before="0" w:after="4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Zhotovitel:</w:t>
      </w:r>
    </w:p>
    <w:p>
      <w:pPr>
        <w:pStyle w:val="Style6"/>
        <w:keepNext w:val="0"/>
        <w:keepLines w:val="0"/>
        <w:framePr w:w="2789" w:h="1709" w:wrap="none" w:vAnchor="text" w:hAnchor="page" w:x="1669" w:y="726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Obchodní firma:</w:t>
      </w:r>
    </w:p>
    <w:p>
      <w:pPr>
        <w:pStyle w:val="Style6"/>
        <w:keepNext w:val="0"/>
        <w:keepLines w:val="0"/>
        <w:framePr w:w="2789" w:h="1709" w:wrap="none" w:vAnchor="text" w:hAnchor="page" w:x="1669" w:y="726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Sídlo:</w:t>
      </w:r>
    </w:p>
    <w:p>
      <w:pPr>
        <w:pStyle w:val="Style6"/>
        <w:keepNext w:val="0"/>
        <w:keepLines w:val="0"/>
        <w:framePr w:w="2789" w:h="1709" w:wrap="none" w:vAnchor="text" w:hAnchor="page" w:x="1669" w:y="726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Zapsán:</w:t>
      </w:r>
    </w:p>
    <w:p>
      <w:pPr>
        <w:pStyle w:val="Style6"/>
        <w:keepNext w:val="0"/>
        <w:keepLines w:val="0"/>
        <w:framePr w:w="2789" w:h="1709" w:wrap="none" w:vAnchor="text" w:hAnchor="page" w:x="1669" w:y="726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Statutární orgán zhotovitele:</w:t>
      </w:r>
    </w:p>
    <w:p>
      <w:pPr>
        <w:pStyle w:val="Style6"/>
        <w:keepNext w:val="0"/>
        <w:keepLines w:val="0"/>
        <w:framePr w:w="5016" w:h="1022" w:wrap="none" w:vAnchor="text" w:hAnchor="page" w:x="5096" w:y="7643"/>
        <w:widowControl w:val="0"/>
        <w:shd w:val="clear" w:color="auto" w:fill="auto"/>
        <w:bidi w:val="0"/>
        <w:spacing w:before="0" w:after="0" w:line="276"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VODNÍ DÍLA – TBD a.s.</w:t>
      </w:r>
    </w:p>
    <w:p>
      <w:pPr>
        <w:pStyle w:val="Style6"/>
        <w:keepNext w:val="0"/>
        <w:keepLines w:val="0"/>
        <w:framePr w:w="5016" w:h="1022" w:wrap="none" w:vAnchor="text" w:hAnchor="page" w:x="5096" w:y="7643"/>
        <w:widowControl w:val="0"/>
        <w:shd w:val="clear" w:color="auto" w:fill="auto"/>
        <w:bidi w:val="0"/>
        <w:spacing w:before="0" w:after="0" w:line="276"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Hybernská 1617/40, Nové Město, 110 00 Praha 1 u Městského soudu v Praze, oddíl B, složka č. 2154</w:t>
      </w:r>
    </w:p>
    <w:p>
      <w:pPr>
        <w:pStyle w:val="Style6"/>
        <w:keepNext w:val="0"/>
        <w:keepLines w:val="0"/>
        <w:framePr w:w="3221" w:h="696" w:wrap="none" w:vAnchor="text" w:hAnchor="page" w:x="1669" w:y="1156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Zástupce ve věcech smluvních:</w:t>
      </w:r>
    </w:p>
    <w:p>
      <w:pPr>
        <w:pStyle w:val="Style6"/>
        <w:keepNext w:val="0"/>
        <w:keepLines w:val="0"/>
        <w:framePr w:w="3221" w:h="696" w:wrap="none" w:vAnchor="text" w:hAnchor="page" w:x="1669" w:y="1156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Zástupce ve věcech technických:</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3" w:line="1" w:lineRule="exact"/>
      </w:pPr>
    </w:p>
    <w:p>
      <w:pPr>
        <w:widowControl w:val="0"/>
        <w:spacing w:line="1" w:lineRule="exact"/>
        <w:sectPr>
          <w:footnotePr>
            <w:pos w:val="pageBottom"/>
            <w:numFmt w:val="decimal"/>
            <w:numRestart w:val="continuous"/>
          </w:footnotePr>
          <w:type w:val="continuous"/>
          <w:pgSz w:w="11909" w:h="16838"/>
          <w:pgMar w:top="1098" w:left="1668" w:right="1745" w:bottom="1209" w:header="0" w:footer="3" w:gutter="0"/>
          <w:cols w:space="720"/>
          <w:noEndnote/>
          <w:rtlGutter w:val="0"/>
          <w:docGrid w:linePitch="360"/>
        </w:sectPr>
      </w:pPr>
    </w:p>
    <w:p>
      <w:pPr>
        <w:pStyle w:val="Style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w:t>
      </w:r>
    </w:p>
    <w:p>
      <w:pPr>
        <w:pStyle w:val="Style6"/>
        <w:keepNext w:val="0"/>
        <w:keepLines w:val="0"/>
        <w:widowControl w:val="0"/>
        <w:shd w:val="clear" w:color="auto" w:fill="auto"/>
        <w:bidi w:val="0"/>
        <w:spacing w:before="0" w:after="4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w:t>
      </w:r>
    </w:p>
    <w:p>
      <w:pPr>
        <w:pStyle w:val="Style6"/>
        <w:keepNext w:val="0"/>
        <w:keepLines w:val="0"/>
        <w:widowControl w:val="0"/>
        <w:shd w:val="clear" w:color="auto" w:fill="auto"/>
        <w:bidi w:val="0"/>
        <w:spacing w:before="0" w:after="4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Název a adresa banky: Číslo účtu:</w:t>
      </w:r>
    </w:p>
    <w:p>
      <w:pPr>
        <w:pStyle w:val="Style6"/>
        <w:keepNext w:val="0"/>
        <w:keepLines w:val="0"/>
        <w:widowControl w:val="0"/>
        <w:shd w:val="clear" w:color="auto" w:fill="auto"/>
        <w:bidi w:val="0"/>
        <w:spacing w:before="0" w:after="4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Telefon (fax):</w:t>
      </w:r>
    </w:p>
    <w:p>
      <w:pPr>
        <w:pStyle w:val="Style6"/>
        <w:keepNext w:val="0"/>
        <w:keepLines w:val="0"/>
        <w:widowControl w:val="0"/>
        <w:shd w:val="clear" w:color="auto" w:fill="auto"/>
        <w:tabs>
          <w:tab w:pos="3490" w:val="left"/>
        </w:tabs>
        <w:bidi w:val="0"/>
        <w:spacing w:before="0" w:after="50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E-mail:</w:t>
        <w:tab/>
      </w:r>
      <w:r>
        <w:fldChar w:fldCharType="begin"/>
      </w:r>
      <w:r>
        <w:rPr/>
        <w:instrText> HYPERLINK "mailto:praha@vdtbd.cz"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praha@vdtbd.cz</w:t>
      </w:r>
      <w:r>
        <w:fldChar w:fldCharType="end"/>
      </w:r>
    </w:p>
    <w:p>
      <w:pPr>
        <w:pStyle w:val="Style10"/>
        <w:keepNext/>
        <w:keepLines/>
        <w:widowControl w:val="0"/>
        <w:numPr>
          <w:ilvl w:val="0"/>
          <w:numId w:val="1"/>
        </w:numPr>
        <w:shd w:val="clear" w:color="auto" w:fill="auto"/>
        <w:tabs>
          <w:tab w:pos="838" w:val="left"/>
        </w:tabs>
        <w:bidi w:val="0"/>
        <w:spacing w:before="0" w:line="240" w:lineRule="auto"/>
        <w:ind w:left="0" w:right="0" w:firstLine="0"/>
        <w:jc w:val="both"/>
      </w:pPr>
      <w:bookmarkStart w:id="3" w:name="bookmark3"/>
      <w:bookmarkStart w:id="4" w:name="bookmark4"/>
      <w:bookmarkStart w:id="5" w:name="bookmark5"/>
      <w:bookmarkStart w:id="6" w:name="bookmark6"/>
      <w:bookmarkEnd w:id="5"/>
      <w:r>
        <w:rPr>
          <w:rFonts w:ascii="Times New Roman" w:eastAsia="Times New Roman" w:hAnsi="Times New Roman" w:cs="Times New Roman"/>
          <w:color w:val="000000"/>
          <w:spacing w:val="0"/>
          <w:w w:val="100"/>
          <w:position w:val="0"/>
          <w:shd w:val="clear" w:color="auto" w:fill="auto"/>
          <w:lang w:val="cs-CZ" w:eastAsia="cs-CZ" w:bidi="cs-CZ"/>
        </w:rPr>
        <w:t>PŘEDMĚT DÍLA</w:t>
      </w:r>
      <w:bookmarkEnd w:id="3"/>
      <w:bookmarkEnd w:id="4"/>
      <w:bookmarkEnd w:id="6"/>
    </w:p>
    <w:p>
      <w:pPr>
        <w:pStyle w:val="Style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Předmětem plnění je technickobezpečnostní dohled (TBD) nad vodními díly I. a II. kategorie ve správě Povodí Ohře, státní podnik.</w:t>
      </w:r>
    </w:p>
    <w:p>
      <w:pPr>
        <w:pStyle w:val="Style6"/>
        <w:keepNext w:val="0"/>
        <w:keepLines w:val="0"/>
        <w:widowControl w:val="0"/>
        <w:numPr>
          <w:ilvl w:val="0"/>
          <w:numId w:val="3"/>
        </w:numPr>
        <w:shd w:val="clear" w:color="auto" w:fill="auto"/>
        <w:tabs>
          <w:tab w:pos="382" w:val="left"/>
        </w:tabs>
        <w:bidi w:val="0"/>
        <w:spacing w:before="0" w:after="0" w:line="259" w:lineRule="auto"/>
        <w:ind w:left="320" w:right="0" w:hanging="320"/>
        <w:jc w:val="both"/>
      </w:pPr>
      <w:bookmarkStart w:id="7" w:name="bookmark7"/>
      <w:bookmarkEnd w:id="7"/>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zadává a zhotovitel se zavazuje k výkonu a provádění Technickobezpečnostního dohledu nad vodními díly I. a II. kategorie ve správě Povodí Ohře, státní podnik v letech 2025 až 2028 včetně. Bezpečnostní dohled bude prováděn na vodních dílech uvedených v příloze č. 1 této smlouvy.</w:t>
      </w:r>
    </w:p>
    <w:p>
      <w:pPr>
        <w:pStyle w:val="Style6"/>
        <w:keepNext w:val="0"/>
        <w:keepLines w:val="0"/>
        <w:widowControl w:val="0"/>
        <w:numPr>
          <w:ilvl w:val="0"/>
          <w:numId w:val="3"/>
        </w:numPr>
        <w:shd w:val="clear" w:color="auto" w:fill="auto"/>
        <w:tabs>
          <w:tab w:pos="382" w:val="left"/>
        </w:tabs>
        <w:bidi w:val="0"/>
        <w:spacing w:before="0" w:after="0" w:line="259" w:lineRule="auto"/>
        <w:ind w:left="0" w:right="0" w:firstLine="0"/>
        <w:jc w:val="left"/>
      </w:pPr>
      <w:bookmarkStart w:id="8" w:name="bookmark8"/>
      <w:bookmarkEnd w:id="8"/>
      <w:r>
        <w:rPr>
          <w:rFonts w:ascii="Times New Roman" w:eastAsia="Times New Roman" w:hAnsi="Times New Roman" w:cs="Times New Roman"/>
          <w:color w:val="000000"/>
          <w:spacing w:val="0"/>
          <w:w w:val="100"/>
          <w:position w:val="0"/>
          <w:sz w:val="24"/>
          <w:szCs w:val="24"/>
          <w:shd w:val="clear" w:color="auto" w:fill="auto"/>
          <w:lang w:val="cs-CZ" w:eastAsia="cs-CZ" w:bidi="cs-CZ"/>
        </w:rPr>
        <w:t>Rozsah kontrol na jednotlivých dílech je definován v příloze č. 1 této smlouvy.</w:t>
      </w:r>
    </w:p>
    <w:p>
      <w:pPr>
        <w:pStyle w:val="Style6"/>
        <w:keepNext w:val="0"/>
        <w:keepLines w:val="0"/>
        <w:widowControl w:val="0"/>
        <w:numPr>
          <w:ilvl w:val="0"/>
          <w:numId w:val="3"/>
        </w:numPr>
        <w:shd w:val="clear" w:color="auto" w:fill="auto"/>
        <w:tabs>
          <w:tab w:pos="382" w:val="left"/>
        </w:tabs>
        <w:bidi w:val="0"/>
        <w:spacing w:before="0" w:after="0" w:line="259" w:lineRule="auto"/>
        <w:ind w:left="320" w:right="0" w:hanging="320"/>
        <w:jc w:val="both"/>
      </w:pPr>
      <w:bookmarkStart w:id="9" w:name="bookmark9"/>
      <w:bookmarkEnd w:id="9"/>
      <w:r>
        <w:rPr>
          <w:rFonts w:ascii="Times New Roman" w:eastAsia="Times New Roman" w:hAnsi="Times New Roman" w:cs="Times New Roman"/>
          <w:color w:val="000000"/>
          <w:spacing w:val="0"/>
          <w:w w:val="100"/>
          <w:position w:val="0"/>
          <w:sz w:val="24"/>
          <w:szCs w:val="24"/>
          <w:shd w:val="clear" w:color="auto" w:fill="auto"/>
          <w:lang w:val="cs-CZ" w:eastAsia="cs-CZ" w:bidi="cs-CZ"/>
        </w:rPr>
        <w:t>TBD je prováděn dle § 61 a § 62 zákona č. 254/2001 Sb., o vodách, a dle vyhlášky č. 471/2001 Sb. o TBD.</w:t>
      </w:r>
    </w:p>
    <w:p>
      <w:pPr>
        <w:pStyle w:val="Style6"/>
        <w:keepNext w:val="0"/>
        <w:keepLines w:val="0"/>
        <w:widowControl w:val="0"/>
        <w:numPr>
          <w:ilvl w:val="0"/>
          <w:numId w:val="3"/>
        </w:numPr>
        <w:shd w:val="clear" w:color="auto" w:fill="auto"/>
        <w:tabs>
          <w:tab w:pos="382" w:val="left"/>
        </w:tabs>
        <w:bidi w:val="0"/>
        <w:spacing w:before="0" w:after="0" w:line="259" w:lineRule="auto"/>
        <w:ind w:left="320" w:right="0" w:hanging="320"/>
        <w:jc w:val="both"/>
      </w:pPr>
      <w:bookmarkStart w:id="10" w:name="bookmark10"/>
      <w:bookmarkEnd w:id="10"/>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prohlašuje, že disponuje pověřením v souladu s „Metodickým pokynem k postupu a podmínkám udělování pověření Ministerstva zemědělství pro provádění technickobezpečnostního dohledu nad vodními díly č. j. 67207/2012-MZE-15100“.</w:t>
      </w:r>
    </w:p>
    <w:p>
      <w:pPr>
        <w:pStyle w:val="Style6"/>
        <w:keepNext w:val="0"/>
        <w:keepLines w:val="0"/>
        <w:widowControl w:val="0"/>
        <w:numPr>
          <w:ilvl w:val="0"/>
          <w:numId w:val="3"/>
        </w:numPr>
        <w:shd w:val="clear" w:color="auto" w:fill="auto"/>
        <w:tabs>
          <w:tab w:pos="382" w:val="left"/>
        </w:tabs>
        <w:bidi w:val="0"/>
        <w:spacing w:before="0" w:after="500" w:line="259" w:lineRule="auto"/>
        <w:ind w:left="320" w:right="0" w:hanging="320"/>
        <w:jc w:val="both"/>
      </w:pPr>
      <w:bookmarkStart w:id="11" w:name="bookmark11"/>
      <w:bookmarkEnd w:id="11"/>
      <w:r>
        <w:rPr>
          <w:rFonts w:ascii="Times New Roman" w:eastAsia="Times New Roman" w:hAnsi="Times New Roman" w:cs="Times New Roman"/>
          <w:color w:val="000000"/>
          <w:spacing w:val="0"/>
          <w:w w:val="100"/>
          <w:position w:val="0"/>
          <w:sz w:val="24"/>
          <w:szCs w:val="24"/>
          <w:shd w:val="clear" w:color="auto" w:fill="auto"/>
          <w:lang w:val="cs-CZ" w:eastAsia="cs-CZ" w:bidi="cs-CZ"/>
        </w:rPr>
        <w:t>Jeden pracovník může vykonávat funkci odpovědné osoby maximálně na 5 vodních dílech.</w:t>
      </w:r>
    </w:p>
    <w:p>
      <w:pPr>
        <w:pStyle w:val="Style10"/>
        <w:keepNext/>
        <w:keepLines/>
        <w:widowControl w:val="0"/>
        <w:numPr>
          <w:ilvl w:val="0"/>
          <w:numId w:val="1"/>
        </w:numPr>
        <w:shd w:val="clear" w:color="auto" w:fill="auto"/>
        <w:tabs>
          <w:tab w:pos="838" w:val="left"/>
        </w:tabs>
        <w:bidi w:val="0"/>
        <w:spacing w:before="0" w:line="240" w:lineRule="auto"/>
        <w:ind w:left="0" w:right="0" w:firstLine="0"/>
        <w:jc w:val="left"/>
      </w:pPr>
      <w:bookmarkStart w:id="12" w:name="bookmark12"/>
      <w:bookmarkStart w:id="13" w:name="bookmark13"/>
      <w:bookmarkStart w:id="14" w:name="bookmark14"/>
      <w:bookmarkStart w:id="15" w:name="bookmark15"/>
      <w:bookmarkEnd w:id="14"/>
      <w:r>
        <w:rPr>
          <w:rFonts w:ascii="Times New Roman" w:eastAsia="Times New Roman" w:hAnsi="Times New Roman" w:cs="Times New Roman"/>
          <w:color w:val="000000"/>
          <w:spacing w:val="0"/>
          <w:w w:val="100"/>
          <w:position w:val="0"/>
          <w:shd w:val="clear" w:color="auto" w:fill="auto"/>
          <w:lang w:val="cs-CZ" w:eastAsia="cs-CZ" w:bidi="cs-CZ"/>
        </w:rPr>
        <w:t>TERMÍNY PLNĚNÍ</w:t>
      </w:r>
      <w:bookmarkEnd w:id="12"/>
      <w:bookmarkEnd w:id="13"/>
      <w:bookmarkEnd w:id="15"/>
    </w:p>
    <w:p>
      <w:pPr>
        <w:pStyle w:val="Style6"/>
        <w:keepNext w:val="0"/>
        <w:keepLines w:val="0"/>
        <w:widowControl w:val="0"/>
        <w:numPr>
          <w:ilvl w:val="0"/>
          <w:numId w:val="5"/>
        </w:numPr>
        <w:shd w:val="clear" w:color="auto" w:fill="auto"/>
        <w:tabs>
          <w:tab w:pos="382" w:val="left"/>
        </w:tabs>
        <w:bidi w:val="0"/>
        <w:spacing w:before="0" w:after="0" w:line="259" w:lineRule="auto"/>
        <w:ind w:left="0" w:right="0" w:firstLine="0"/>
        <w:jc w:val="left"/>
      </w:pPr>
      <w:bookmarkStart w:id="16" w:name="bookmark16"/>
      <w:bookmarkEnd w:id="16"/>
      <w:r>
        <w:rPr>
          <w:rFonts w:ascii="Times New Roman" w:eastAsia="Times New Roman" w:hAnsi="Times New Roman" w:cs="Times New Roman"/>
          <w:color w:val="000000"/>
          <w:spacing w:val="0"/>
          <w:w w:val="100"/>
          <w:position w:val="0"/>
          <w:sz w:val="24"/>
          <w:szCs w:val="24"/>
          <w:shd w:val="clear" w:color="auto" w:fill="auto"/>
          <w:lang w:val="cs-CZ" w:eastAsia="cs-CZ" w:bidi="cs-CZ"/>
        </w:rPr>
        <w:t>Realizace díla se uskuteční od 01. 01. 2025 do 31. 12. 2028.</w:t>
      </w:r>
    </w:p>
    <w:p>
      <w:pPr>
        <w:pStyle w:val="Style6"/>
        <w:keepNext w:val="0"/>
        <w:keepLines w:val="0"/>
        <w:widowControl w:val="0"/>
        <w:numPr>
          <w:ilvl w:val="0"/>
          <w:numId w:val="5"/>
        </w:numPr>
        <w:shd w:val="clear" w:color="auto" w:fill="auto"/>
        <w:tabs>
          <w:tab w:pos="382" w:val="left"/>
        </w:tabs>
        <w:bidi w:val="0"/>
        <w:spacing w:before="0" w:after="120" w:line="259" w:lineRule="auto"/>
        <w:ind w:left="320" w:right="0" w:hanging="320"/>
        <w:jc w:val="both"/>
      </w:pPr>
      <w:bookmarkStart w:id="17" w:name="bookmark17"/>
      <w:bookmarkEnd w:id="17"/>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si sjednávají postupový termín dílčího plnění ve výši 50 % ceny díla pro příslušný rok do 30. 9. každého příslušného roku.</w:t>
      </w:r>
    </w:p>
    <w:p>
      <w:pPr>
        <w:pStyle w:val="Style10"/>
        <w:keepNext/>
        <w:keepLines/>
        <w:widowControl w:val="0"/>
        <w:numPr>
          <w:ilvl w:val="0"/>
          <w:numId w:val="1"/>
        </w:numPr>
        <w:shd w:val="clear" w:color="auto" w:fill="auto"/>
        <w:tabs>
          <w:tab w:pos="838" w:val="left"/>
        </w:tabs>
        <w:bidi w:val="0"/>
        <w:spacing w:before="0" w:line="240" w:lineRule="auto"/>
        <w:ind w:left="0" w:right="0" w:firstLine="0"/>
        <w:jc w:val="left"/>
      </w:pPr>
      <w:bookmarkStart w:id="18" w:name="bookmark18"/>
      <w:bookmarkStart w:id="19" w:name="bookmark19"/>
      <w:bookmarkStart w:id="20" w:name="bookmark20"/>
      <w:bookmarkStart w:id="21" w:name="bookmark21"/>
      <w:bookmarkEnd w:id="20"/>
      <w:r>
        <w:rPr>
          <w:rFonts w:ascii="Times New Roman" w:eastAsia="Times New Roman" w:hAnsi="Times New Roman" w:cs="Times New Roman"/>
          <w:color w:val="000000"/>
          <w:spacing w:val="0"/>
          <w:w w:val="100"/>
          <w:position w:val="0"/>
          <w:shd w:val="clear" w:color="auto" w:fill="auto"/>
          <w:lang w:val="cs-CZ" w:eastAsia="cs-CZ" w:bidi="cs-CZ"/>
        </w:rPr>
        <w:t>CENA DÍLA</w:t>
      </w:r>
      <w:bookmarkEnd w:id="18"/>
      <w:bookmarkEnd w:id="19"/>
      <w:bookmarkEnd w:id="21"/>
    </w:p>
    <w:p>
      <w:pPr>
        <w:pStyle w:val="Style6"/>
        <w:keepNext w:val="0"/>
        <w:keepLines w:val="0"/>
        <w:widowControl w:val="0"/>
        <w:numPr>
          <w:ilvl w:val="0"/>
          <w:numId w:val="7"/>
        </w:numPr>
        <w:shd w:val="clear" w:color="auto" w:fill="auto"/>
        <w:tabs>
          <w:tab w:pos="382" w:val="left"/>
        </w:tabs>
        <w:bidi w:val="0"/>
        <w:spacing w:before="0" w:after="40" w:line="259" w:lineRule="auto"/>
        <w:ind w:left="320" w:right="0" w:hanging="320"/>
        <w:jc w:val="both"/>
      </w:pPr>
      <w:bookmarkStart w:id="22" w:name="bookmark22"/>
      <w:bookmarkEnd w:id="22"/>
      <w:r>
        <w:rPr>
          <w:rFonts w:ascii="Times New Roman" w:eastAsia="Times New Roman" w:hAnsi="Times New Roman" w:cs="Times New Roman"/>
          <w:color w:val="000000"/>
          <w:spacing w:val="0"/>
          <w:w w:val="100"/>
          <w:position w:val="0"/>
          <w:sz w:val="24"/>
          <w:szCs w:val="24"/>
          <w:shd w:val="clear" w:color="auto" w:fill="auto"/>
          <w:lang w:val="cs-CZ" w:eastAsia="cs-CZ" w:bidi="cs-CZ"/>
        </w:rPr>
        <w:t>Smluvně dohodnuté ceny prací pro roky 2025 až 2028 nad vodními díly I. a II. kategorie ve správě Povodí Ohře, státní podnik (bez DPH) a jejich jednotlivé položky jsou uvedeny v přílohách č. I/2025, I/2026, I/2027, I/2028, II/2025, II/2026, II/2027 a II/2028, (dále jen Soupis prací), který tvoří přílohu č.1 této smlouvy.</w:t>
      </w:r>
    </w:p>
    <w:p>
      <w:pPr>
        <w:pStyle w:val="Style6"/>
        <w:keepNext w:val="0"/>
        <w:keepLines w:val="0"/>
        <w:widowControl w:val="0"/>
        <w:numPr>
          <w:ilvl w:val="0"/>
          <w:numId w:val="7"/>
        </w:numPr>
        <w:shd w:val="clear" w:color="auto" w:fill="auto"/>
        <w:tabs>
          <w:tab w:pos="382" w:val="left"/>
        </w:tabs>
        <w:bidi w:val="0"/>
        <w:spacing w:before="0" w:after="0" w:line="240" w:lineRule="auto"/>
        <w:ind w:left="0" w:right="0" w:firstLine="0"/>
        <w:jc w:val="left"/>
      </w:pPr>
      <w:bookmarkStart w:id="23" w:name="bookmark23"/>
      <w:bookmarkEnd w:id="23"/>
      <w:r>
        <w:rPr>
          <w:rFonts w:ascii="Times New Roman" w:eastAsia="Times New Roman" w:hAnsi="Times New Roman" w:cs="Times New Roman"/>
          <w:color w:val="000000"/>
          <w:spacing w:val="0"/>
          <w:w w:val="100"/>
          <w:position w:val="0"/>
          <w:sz w:val="24"/>
          <w:szCs w:val="24"/>
          <w:shd w:val="clear" w:color="auto" w:fill="auto"/>
          <w:lang w:val="cs-CZ" w:eastAsia="cs-CZ" w:bidi="cs-CZ"/>
        </w:rPr>
        <w:t>Vyhrazená změna závazku:</w:t>
      </w:r>
    </w:p>
    <w:p>
      <w:pPr>
        <w:pStyle w:val="Style6"/>
        <w:keepNext w:val="0"/>
        <w:keepLines w:val="0"/>
        <w:widowControl w:val="0"/>
        <w:shd w:val="clear" w:color="auto" w:fill="auto"/>
        <w:bidi w:val="0"/>
        <w:spacing w:before="0" w:after="120" w:line="240" w:lineRule="auto"/>
        <w:ind w:left="320" w:right="0" w:firstLine="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V souladu s § 100 odst. 1 zákona objednatel uplatňuje právo na vyhrazenou změnu závazku, která nemění celkovou povahu veřejné zakázky a kterou objednatel předvídá. Týká se množství níže uvedených činností, než je předpokládáno v Soupisu prací.</w:t>
      </w:r>
    </w:p>
    <w:p>
      <w:pPr>
        <w:pStyle w:val="Style6"/>
        <w:keepNext w:val="0"/>
        <w:keepLines w:val="0"/>
        <w:widowControl w:val="0"/>
        <w:shd w:val="clear" w:color="auto" w:fill="auto"/>
        <w:bidi w:val="0"/>
        <w:spacing w:before="0" w:after="120" w:line="259" w:lineRule="auto"/>
        <w:ind w:left="0" w:right="0" w:firstLine="3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Tyto činnosti jsou pro každou kategorii vodních děl a každý rok zvlášť.</w:t>
      </w:r>
    </w:p>
    <w:p>
      <w:pPr>
        <w:pStyle w:val="Style6"/>
        <w:keepNext w:val="0"/>
        <w:keepLines w:val="0"/>
        <w:widowControl w:val="0"/>
        <w:numPr>
          <w:ilvl w:val="0"/>
          <w:numId w:val="9"/>
        </w:numPr>
        <w:shd w:val="clear" w:color="auto" w:fill="auto"/>
        <w:tabs>
          <w:tab w:pos="838" w:val="left"/>
        </w:tabs>
        <w:bidi w:val="0"/>
        <w:spacing w:before="0" w:after="0" w:line="259" w:lineRule="auto"/>
        <w:ind w:left="0" w:right="0" w:firstLine="320"/>
        <w:jc w:val="left"/>
      </w:pPr>
      <w:bookmarkStart w:id="24" w:name="bookmark24"/>
      <w:bookmarkEnd w:id="24"/>
      <w:r>
        <w:rPr>
          <w:rFonts w:ascii="Times New Roman" w:eastAsia="Times New Roman" w:hAnsi="Times New Roman" w:cs="Times New Roman"/>
          <w:color w:val="000000"/>
          <w:spacing w:val="0"/>
          <w:w w:val="100"/>
          <w:position w:val="0"/>
          <w:sz w:val="24"/>
          <w:szCs w:val="24"/>
          <w:shd w:val="clear" w:color="auto" w:fill="auto"/>
          <w:lang w:val="cs-CZ" w:eastAsia="cs-CZ" w:bidi="cs-CZ"/>
        </w:rPr>
        <w:t>Hodnocení kontrol prostorů vtoků do spodních výpustí přehrad.</w:t>
      </w:r>
    </w:p>
    <w:p>
      <w:pPr>
        <w:pStyle w:val="Style6"/>
        <w:keepNext w:val="0"/>
        <w:keepLines w:val="0"/>
        <w:widowControl w:val="0"/>
        <w:shd w:val="clear" w:color="auto" w:fill="auto"/>
        <w:bidi w:val="0"/>
        <w:spacing w:before="0" w:after="120" w:line="259" w:lineRule="auto"/>
        <w:ind w:left="0" w:right="0" w:firstLine="7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4x zhodnocení výsledků prohlídky prostorů nátoků potápěči z hlediska TBD.</w:t>
      </w:r>
    </w:p>
    <w:p>
      <w:pPr>
        <w:pStyle w:val="Style6"/>
        <w:keepNext w:val="0"/>
        <w:keepLines w:val="0"/>
        <w:widowControl w:val="0"/>
        <w:numPr>
          <w:ilvl w:val="0"/>
          <w:numId w:val="9"/>
        </w:numPr>
        <w:shd w:val="clear" w:color="auto" w:fill="auto"/>
        <w:tabs>
          <w:tab w:pos="838" w:val="left"/>
        </w:tabs>
        <w:bidi w:val="0"/>
        <w:spacing w:before="0" w:after="120" w:line="259" w:lineRule="auto"/>
        <w:ind w:left="0" w:right="0" w:firstLine="320"/>
        <w:jc w:val="left"/>
      </w:pPr>
      <w:bookmarkStart w:id="25" w:name="bookmark25"/>
      <w:bookmarkEnd w:id="25"/>
      <w:r>
        <w:rPr>
          <w:rFonts w:ascii="Times New Roman" w:eastAsia="Times New Roman" w:hAnsi="Times New Roman" w:cs="Times New Roman"/>
          <w:color w:val="000000"/>
          <w:spacing w:val="0"/>
          <w:w w:val="100"/>
          <w:position w:val="0"/>
          <w:sz w:val="24"/>
          <w:szCs w:val="24"/>
          <w:shd w:val="clear" w:color="auto" w:fill="auto"/>
          <w:lang w:val="cs-CZ" w:eastAsia="cs-CZ" w:bidi="cs-CZ"/>
        </w:rPr>
        <w:t>Ostatní činnosti dle požadavku objednatele</w:t>
      </w:r>
    </w:p>
    <w:p>
      <w:pPr>
        <w:pStyle w:val="Style6"/>
        <w:keepNext w:val="0"/>
        <w:keepLines w:val="0"/>
        <w:widowControl w:val="0"/>
        <w:shd w:val="clear" w:color="auto" w:fill="auto"/>
        <w:bidi w:val="0"/>
        <w:spacing w:before="0" w:after="120" w:line="240" w:lineRule="auto"/>
        <w:ind w:left="740" w:right="0" w:firstLine="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Rozsah ostatních činností bude upřesňován objednatelem podle aktuálních provozních potřeb, maximálně však v rozsahu 120 hodin práce specialisty TBD.</w:t>
      </w:r>
    </w:p>
    <w:p>
      <w:pPr>
        <w:pStyle w:val="Style6"/>
        <w:keepNext w:val="0"/>
        <w:keepLines w:val="0"/>
        <w:widowControl w:val="0"/>
        <w:shd w:val="clear" w:color="auto" w:fill="auto"/>
        <w:bidi w:val="0"/>
        <w:spacing w:before="0" w:after="520" w:line="240" w:lineRule="auto"/>
        <w:ind w:left="32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Popis jednotlivých položek nelze změnit. Jednotkové ceny z nabídky zhotovitele nebude možné změnit. Změna bude možná pouze v množství.</w:t>
      </w:r>
    </w:p>
    <w:p>
      <w:pPr>
        <w:pStyle w:val="Style10"/>
        <w:keepNext/>
        <w:keepLines/>
        <w:widowControl w:val="0"/>
        <w:numPr>
          <w:ilvl w:val="0"/>
          <w:numId w:val="1"/>
        </w:numPr>
        <w:shd w:val="clear" w:color="auto" w:fill="auto"/>
        <w:tabs>
          <w:tab w:pos="816" w:val="left"/>
        </w:tabs>
        <w:bidi w:val="0"/>
        <w:spacing w:before="0" w:line="240" w:lineRule="auto"/>
        <w:ind w:left="0" w:right="0" w:firstLine="0"/>
        <w:jc w:val="both"/>
      </w:pPr>
      <w:bookmarkStart w:id="26" w:name="bookmark26"/>
      <w:bookmarkStart w:id="27" w:name="bookmark27"/>
      <w:bookmarkStart w:id="28" w:name="bookmark28"/>
      <w:bookmarkStart w:id="29" w:name="bookmark29"/>
      <w:bookmarkEnd w:id="28"/>
      <w:r>
        <w:rPr>
          <w:rFonts w:ascii="Times New Roman" w:eastAsia="Times New Roman" w:hAnsi="Times New Roman" w:cs="Times New Roman"/>
          <w:color w:val="000000"/>
          <w:spacing w:val="0"/>
          <w:w w:val="100"/>
          <w:position w:val="0"/>
          <w:shd w:val="clear" w:color="auto" w:fill="auto"/>
          <w:lang w:val="cs-CZ" w:eastAsia="cs-CZ" w:bidi="cs-CZ"/>
        </w:rPr>
        <w:t>ÚDAJE DOHODNUTÉ K PROVEDENÍ DÍLA</w:t>
      </w:r>
      <w:bookmarkEnd w:id="26"/>
      <w:bookmarkEnd w:id="27"/>
      <w:bookmarkEnd w:id="29"/>
    </w:p>
    <w:p>
      <w:pPr>
        <w:pStyle w:val="Style6"/>
        <w:keepNext w:val="0"/>
        <w:keepLines w:val="0"/>
        <w:widowControl w:val="0"/>
        <w:numPr>
          <w:ilvl w:val="0"/>
          <w:numId w:val="11"/>
        </w:numPr>
        <w:shd w:val="clear" w:color="auto" w:fill="auto"/>
        <w:tabs>
          <w:tab w:pos="382" w:val="left"/>
        </w:tabs>
        <w:bidi w:val="0"/>
        <w:spacing w:before="0" w:after="240" w:line="240" w:lineRule="auto"/>
        <w:ind w:left="320" w:right="0" w:hanging="320"/>
        <w:jc w:val="both"/>
      </w:pPr>
      <w:bookmarkStart w:id="30" w:name="bookmark30"/>
      <w:bookmarkEnd w:id="30"/>
      <w:r>
        <w:rPr>
          <w:rFonts w:ascii="Times New Roman" w:eastAsia="Times New Roman" w:hAnsi="Times New Roman" w:cs="Times New Roman"/>
          <w:color w:val="000000"/>
          <w:spacing w:val="0"/>
          <w:w w:val="100"/>
          <w:position w:val="0"/>
          <w:sz w:val="24"/>
          <w:szCs w:val="24"/>
          <w:shd w:val="clear" w:color="auto" w:fill="auto"/>
          <w:lang w:val="cs-CZ" w:eastAsia="cs-CZ" w:bidi="cs-CZ"/>
        </w:rPr>
        <w:t>Služby jsou prováděny na vodních dílech uvedených v příloze č.1 této smlouvy a výstupy jsou předávány v sídle objednatele.</w:t>
      </w:r>
    </w:p>
    <w:p>
      <w:pPr>
        <w:pStyle w:val="Style10"/>
        <w:keepNext/>
        <w:keepLines/>
        <w:widowControl w:val="0"/>
        <w:numPr>
          <w:ilvl w:val="0"/>
          <w:numId w:val="1"/>
        </w:numPr>
        <w:shd w:val="clear" w:color="auto" w:fill="auto"/>
        <w:tabs>
          <w:tab w:pos="816" w:val="left"/>
        </w:tabs>
        <w:bidi w:val="0"/>
        <w:spacing w:before="0" w:line="240" w:lineRule="auto"/>
        <w:ind w:left="0" w:right="0" w:firstLine="0"/>
        <w:jc w:val="both"/>
      </w:pPr>
      <w:bookmarkStart w:id="31" w:name="bookmark31"/>
      <w:bookmarkStart w:id="32" w:name="bookmark32"/>
      <w:bookmarkStart w:id="33" w:name="bookmark33"/>
      <w:bookmarkStart w:id="34" w:name="bookmark34"/>
      <w:bookmarkEnd w:id="33"/>
      <w:r>
        <w:rPr>
          <w:rFonts w:ascii="Times New Roman" w:eastAsia="Times New Roman" w:hAnsi="Times New Roman" w:cs="Times New Roman"/>
          <w:color w:val="000000"/>
          <w:spacing w:val="0"/>
          <w:w w:val="100"/>
          <w:position w:val="0"/>
          <w:shd w:val="clear" w:color="auto" w:fill="auto"/>
          <w:lang w:val="cs-CZ" w:eastAsia="cs-CZ" w:bidi="cs-CZ"/>
        </w:rPr>
        <w:t>PLATEBNÍ PODMÍNKY</w:t>
      </w:r>
      <w:bookmarkEnd w:id="31"/>
      <w:bookmarkEnd w:id="32"/>
      <w:bookmarkEnd w:id="34"/>
    </w:p>
    <w:p>
      <w:pPr>
        <w:pStyle w:val="Style6"/>
        <w:keepNext w:val="0"/>
        <w:keepLines w:val="0"/>
        <w:widowControl w:val="0"/>
        <w:numPr>
          <w:ilvl w:val="0"/>
          <w:numId w:val="13"/>
        </w:numPr>
        <w:shd w:val="clear" w:color="auto" w:fill="auto"/>
        <w:tabs>
          <w:tab w:pos="382" w:val="left"/>
        </w:tabs>
        <w:bidi w:val="0"/>
        <w:spacing w:before="0" w:after="0" w:line="262" w:lineRule="auto"/>
        <w:ind w:left="0" w:right="0" w:firstLine="0"/>
        <w:jc w:val="both"/>
      </w:pPr>
      <w:bookmarkStart w:id="35" w:name="bookmark35"/>
      <w:bookmarkEnd w:id="35"/>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nebude poskytovat zhotoviteli zálohy.</w:t>
      </w:r>
    </w:p>
    <w:p>
      <w:pPr>
        <w:pStyle w:val="Style6"/>
        <w:keepNext w:val="0"/>
        <w:keepLines w:val="0"/>
        <w:widowControl w:val="0"/>
        <w:numPr>
          <w:ilvl w:val="0"/>
          <w:numId w:val="13"/>
        </w:numPr>
        <w:shd w:val="clear" w:color="auto" w:fill="auto"/>
        <w:tabs>
          <w:tab w:pos="382" w:val="left"/>
        </w:tabs>
        <w:bidi w:val="0"/>
        <w:spacing w:before="0" w:after="0" w:line="262" w:lineRule="auto"/>
        <w:ind w:left="320" w:right="0" w:hanging="320"/>
        <w:jc w:val="both"/>
      </w:pPr>
      <w:bookmarkStart w:id="36" w:name="bookmark36"/>
      <w:bookmarkEnd w:id="36"/>
      <w:r>
        <w:rPr>
          <w:rFonts w:ascii="Times New Roman" w:eastAsia="Times New Roman" w:hAnsi="Times New Roman" w:cs="Times New Roman"/>
          <w:color w:val="000000"/>
          <w:spacing w:val="0"/>
          <w:w w:val="100"/>
          <w:position w:val="0"/>
          <w:sz w:val="24"/>
          <w:szCs w:val="24"/>
          <w:shd w:val="clear" w:color="auto" w:fill="auto"/>
          <w:lang w:val="cs-CZ" w:eastAsia="cs-CZ" w:bidi="cs-CZ"/>
        </w:rPr>
        <w:t>Fakturace vykonaných prací bude prováděna měsíčně podle skutečně provedeného rozsahu prací, které jsou v celkovém rozsahu specifikovány v Soupisu prací. Fakturovaná částka bude rozklíčena na jednotlivé závody objednatele a předání seznamu jejich souborů bude přiloženo k předmětné faktuře. Datem uskutečnění zdanitelného plnění je poslední kalendářní den v měsíci.</w:t>
      </w:r>
    </w:p>
    <w:p>
      <w:pPr>
        <w:pStyle w:val="Style6"/>
        <w:keepNext w:val="0"/>
        <w:keepLines w:val="0"/>
        <w:widowControl w:val="0"/>
        <w:numPr>
          <w:ilvl w:val="0"/>
          <w:numId w:val="13"/>
        </w:numPr>
        <w:shd w:val="clear" w:color="auto" w:fill="auto"/>
        <w:tabs>
          <w:tab w:pos="382" w:val="left"/>
        </w:tabs>
        <w:bidi w:val="0"/>
        <w:spacing w:before="0" w:after="0" w:line="262" w:lineRule="auto"/>
        <w:ind w:left="320" w:right="0" w:hanging="320"/>
        <w:jc w:val="both"/>
      </w:pPr>
      <w:bookmarkStart w:id="37" w:name="bookmark37"/>
      <w:bookmarkEnd w:id="37"/>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je povinen vystavit řádný daňový doklad do patnácti dnů ode dne uskutečnění zdanitelného plnění.</w:t>
      </w:r>
    </w:p>
    <w:p>
      <w:pPr>
        <w:pStyle w:val="Style6"/>
        <w:keepNext w:val="0"/>
        <w:keepLines w:val="0"/>
        <w:widowControl w:val="0"/>
        <w:numPr>
          <w:ilvl w:val="0"/>
          <w:numId w:val="13"/>
        </w:numPr>
        <w:shd w:val="clear" w:color="auto" w:fill="auto"/>
        <w:tabs>
          <w:tab w:pos="382" w:val="left"/>
        </w:tabs>
        <w:bidi w:val="0"/>
        <w:spacing w:before="0" w:after="0" w:line="262" w:lineRule="auto"/>
        <w:ind w:left="0" w:right="0" w:firstLine="0"/>
        <w:jc w:val="both"/>
      </w:pPr>
      <w:bookmarkStart w:id="38" w:name="bookmark38"/>
      <w:bookmarkEnd w:id="38"/>
      <w:r>
        <w:rPr>
          <w:rFonts w:ascii="Times New Roman" w:eastAsia="Times New Roman" w:hAnsi="Times New Roman" w:cs="Times New Roman"/>
          <w:color w:val="000000"/>
          <w:spacing w:val="0"/>
          <w:w w:val="100"/>
          <w:position w:val="0"/>
          <w:sz w:val="24"/>
          <w:szCs w:val="24"/>
          <w:shd w:val="clear" w:color="auto" w:fill="auto"/>
          <w:lang w:val="cs-CZ" w:eastAsia="cs-CZ" w:bidi="cs-CZ"/>
        </w:rPr>
        <w:t>Splatnost faktur je 30 dní ode dne doručení.</w:t>
      </w:r>
    </w:p>
    <w:p>
      <w:pPr>
        <w:pStyle w:val="Style6"/>
        <w:keepNext w:val="0"/>
        <w:keepLines w:val="0"/>
        <w:widowControl w:val="0"/>
        <w:numPr>
          <w:ilvl w:val="0"/>
          <w:numId w:val="13"/>
        </w:numPr>
        <w:shd w:val="clear" w:color="auto" w:fill="auto"/>
        <w:tabs>
          <w:tab w:pos="382" w:val="left"/>
        </w:tabs>
        <w:bidi w:val="0"/>
        <w:spacing w:before="0" w:after="0" w:line="262" w:lineRule="auto"/>
        <w:ind w:left="0" w:right="0" w:firstLine="0"/>
        <w:jc w:val="both"/>
      </w:pPr>
      <w:bookmarkStart w:id="39" w:name="bookmark39"/>
      <w:bookmarkEnd w:id="39"/>
      <w:r>
        <w:rPr>
          <w:rFonts w:ascii="Times New Roman" w:eastAsia="Times New Roman" w:hAnsi="Times New Roman" w:cs="Times New Roman"/>
          <w:color w:val="000000"/>
          <w:spacing w:val="0"/>
          <w:w w:val="100"/>
          <w:position w:val="0"/>
          <w:sz w:val="24"/>
          <w:szCs w:val="24"/>
          <w:shd w:val="clear" w:color="auto" w:fill="auto"/>
          <w:lang w:val="cs-CZ" w:eastAsia="cs-CZ" w:bidi="cs-CZ"/>
        </w:rPr>
        <w:t>Daňové doklady musí obsahovat všechny náležitosti podle platného zákona o DPH.</w:t>
      </w:r>
    </w:p>
    <w:p>
      <w:pPr>
        <w:pStyle w:val="Style6"/>
        <w:keepNext w:val="0"/>
        <w:keepLines w:val="0"/>
        <w:widowControl w:val="0"/>
        <w:numPr>
          <w:ilvl w:val="0"/>
          <w:numId w:val="13"/>
        </w:numPr>
        <w:shd w:val="clear" w:color="auto" w:fill="auto"/>
        <w:tabs>
          <w:tab w:pos="382" w:val="left"/>
        </w:tabs>
        <w:bidi w:val="0"/>
        <w:spacing w:before="0" w:after="0" w:line="262" w:lineRule="auto"/>
        <w:ind w:left="320" w:right="0" w:hanging="320"/>
        <w:jc w:val="both"/>
      </w:pPr>
      <w:bookmarkStart w:id="40" w:name="bookmark40"/>
      <w:bookmarkEnd w:id="40"/>
      <w:r>
        <w:rPr>
          <w:rFonts w:ascii="Times New Roman" w:eastAsia="Times New Roman" w:hAnsi="Times New Roman" w:cs="Times New Roman"/>
          <w:color w:val="000000"/>
          <w:spacing w:val="0"/>
          <w:w w:val="100"/>
          <w:position w:val="0"/>
          <w:sz w:val="24"/>
          <w:szCs w:val="24"/>
          <w:shd w:val="clear" w:color="auto" w:fill="auto"/>
          <w:lang w:val="cs-CZ" w:eastAsia="cs-CZ" w:bidi="cs-CZ"/>
        </w:rPr>
        <w:t>V případě chybějících nebo chybných údajů na daňovém dokladu vrátí objednatel zhotoviteli daňový doklad k opravě. Lhůta pro placení se pak počítá od doby vrácení opraveného daňového dokladu objednateli.</w:t>
      </w:r>
    </w:p>
    <w:p>
      <w:pPr>
        <w:pStyle w:val="Style6"/>
        <w:keepNext w:val="0"/>
        <w:keepLines w:val="0"/>
        <w:widowControl w:val="0"/>
        <w:numPr>
          <w:ilvl w:val="0"/>
          <w:numId w:val="13"/>
        </w:numPr>
        <w:shd w:val="clear" w:color="auto" w:fill="auto"/>
        <w:tabs>
          <w:tab w:pos="382" w:val="left"/>
        </w:tabs>
        <w:bidi w:val="0"/>
        <w:spacing w:before="0" w:after="0" w:line="262" w:lineRule="auto"/>
        <w:ind w:left="320" w:right="0" w:hanging="320"/>
        <w:jc w:val="both"/>
      </w:pPr>
      <w:bookmarkStart w:id="41" w:name="bookmark41"/>
      <w:bookmarkEnd w:id="41"/>
      <w:r>
        <w:rPr>
          <w:rFonts w:ascii="Times New Roman" w:eastAsia="Times New Roman" w:hAnsi="Times New Roman" w:cs="Times New Roman"/>
          <w:color w:val="000000"/>
          <w:spacing w:val="0"/>
          <w:w w:val="100"/>
          <w:position w:val="0"/>
          <w:sz w:val="24"/>
          <w:szCs w:val="24"/>
          <w:shd w:val="clear" w:color="auto" w:fill="auto"/>
          <w:lang w:val="cs-CZ" w:eastAsia="cs-CZ" w:bidi="cs-CZ"/>
        </w:rPr>
        <w:t>Platby budou probíhat bezhotovostní formou na bankovní účet zhotovitele uvedený v této smlouvě.</w:t>
      </w:r>
    </w:p>
    <w:p>
      <w:pPr>
        <w:pStyle w:val="Style6"/>
        <w:keepNext w:val="0"/>
        <w:keepLines w:val="0"/>
        <w:widowControl w:val="0"/>
        <w:numPr>
          <w:ilvl w:val="0"/>
          <w:numId w:val="13"/>
        </w:numPr>
        <w:shd w:val="clear" w:color="auto" w:fill="auto"/>
        <w:tabs>
          <w:tab w:pos="382" w:val="left"/>
        </w:tabs>
        <w:bidi w:val="0"/>
        <w:spacing w:before="0" w:after="120" w:line="262" w:lineRule="auto"/>
        <w:ind w:left="320" w:right="0" w:hanging="320"/>
        <w:jc w:val="both"/>
      </w:pPr>
      <w:bookmarkStart w:id="42" w:name="bookmark42"/>
      <w:bookmarkEnd w:id="42"/>
      <w:r>
        <w:rPr>
          <w:rFonts w:ascii="Times New Roman" w:eastAsia="Times New Roman" w:hAnsi="Times New Roman" w:cs="Times New Roman"/>
          <w:color w:val="000000"/>
          <w:spacing w:val="0"/>
          <w:w w:val="100"/>
          <w:position w:val="0"/>
          <w:sz w:val="24"/>
          <w:szCs w:val="24"/>
          <w:shd w:val="clear" w:color="auto" w:fill="auto"/>
          <w:lang w:val="cs-CZ" w:eastAsia="cs-CZ" w:bidi="cs-CZ"/>
        </w:rPr>
        <w:t>Zjištěné rozdíly plnění oproti specifikovaným pracím a finančním nákladům na jednotlivé akce této Smlouvy budou řešeny příslušným písemným dodatkem.</w:t>
      </w:r>
    </w:p>
    <w:p>
      <w:pPr>
        <w:pStyle w:val="Style10"/>
        <w:keepNext/>
        <w:keepLines/>
        <w:widowControl w:val="0"/>
        <w:numPr>
          <w:ilvl w:val="0"/>
          <w:numId w:val="1"/>
        </w:numPr>
        <w:shd w:val="clear" w:color="auto" w:fill="auto"/>
        <w:tabs>
          <w:tab w:pos="816" w:val="left"/>
        </w:tabs>
        <w:bidi w:val="0"/>
        <w:spacing w:before="0" w:line="240" w:lineRule="auto"/>
        <w:ind w:left="0" w:right="0" w:firstLine="0"/>
        <w:jc w:val="both"/>
      </w:pPr>
      <w:bookmarkStart w:id="43" w:name="bookmark43"/>
      <w:bookmarkStart w:id="44" w:name="bookmark44"/>
      <w:bookmarkStart w:id="45" w:name="bookmark45"/>
      <w:bookmarkStart w:id="46" w:name="bookmark46"/>
      <w:bookmarkEnd w:id="45"/>
      <w:r>
        <w:rPr>
          <w:rFonts w:ascii="Times New Roman" w:eastAsia="Times New Roman" w:hAnsi="Times New Roman" w:cs="Times New Roman"/>
          <w:color w:val="000000"/>
          <w:spacing w:val="0"/>
          <w:w w:val="100"/>
          <w:position w:val="0"/>
          <w:shd w:val="clear" w:color="auto" w:fill="auto"/>
          <w:lang w:val="cs-CZ" w:eastAsia="cs-CZ" w:bidi="cs-CZ"/>
        </w:rPr>
        <w:t>SANKČNÍ UJEDNÁNÍ</w:t>
      </w:r>
      <w:bookmarkEnd w:id="43"/>
      <w:bookmarkEnd w:id="44"/>
      <w:bookmarkEnd w:id="46"/>
    </w:p>
    <w:p>
      <w:pPr>
        <w:pStyle w:val="Style6"/>
        <w:keepNext w:val="0"/>
        <w:keepLines w:val="0"/>
        <w:widowControl w:val="0"/>
        <w:numPr>
          <w:ilvl w:val="0"/>
          <w:numId w:val="15"/>
        </w:numPr>
        <w:shd w:val="clear" w:color="auto" w:fill="auto"/>
        <w:tabs>
          <w:tab w:pos="382" w:val="left"/>
        </w:tabs>
        <w:bidi w:val="0"/>
        <w:spacing w:before="0" w:after="0" w:line="262" w:lineRule="auto"/>
        <w:ind w:left="320" w:right="0" w:hanging="320"/>
        <w:jc w:val="both"/>
      </w:pPr>
      <w:bookmarkStart w:id="47" w:name="bookmark47"/>
      <w:bookmarkEnd w:id="47"/>
      <w:r>
        <w:rPr>
          <w:rFonts w:ascii="Times New Roman" w:eastAsia="Times New Roman" w:hAnsi="Times New Roman" w:cs="Times New Roman"/>
          <w:color w:val="000000"/>
          <w:spacing w:val="0"/>
          <w:w w:val="100"/>
          <w:position w:val="0"/>
          <w:sz w:val="24"/>
          <w:szCs w:val="24"/>
          <w:shd w:val="clear" w:color="auto" w:fill="auto"/>
          <w:lang w:val="cs-CZ" w:eastAsia="cs-CZ" w:bidi="cs-CZ"/>
        </w:rPr>
        <w:t>Při nesplnění termínu předání díla zaplatí zhotovitel objednateli smluvní pokutu ve výši 0,3 % z ceny díla za každý i započatý kalendářní den prodlení.</w:t>
      </w:r>
    </w:p>
    <w:p>
      <w:pPr>
        <w:pStyle w:val="Style6"/>
        <w:keepNext w:val="0"/>
        <w:keepLines w:val="0"/>
        <w:widowControl w:val="0"/>
        <w:numPr>
          <w:ilvl w:val="0"/>
          <w:numId w:val="15"/>
        </w:numPr>
        <w:shd w:val="clear" w:color="auto" w:fill="auto"/>
        <w:tabs>
          <w:tab w:pos="382" w:val="left"/>
        </w:tabs>
        <w:bidi w:val="0"/>
        <w:spacing w:before="0" w:after="0" w:line="262" w:lineRule="auto"/>
        <w:ind w:left="320" w:right="0" w:hanging="320"/>
        <w:jc w:val="both"/>
      </w:pPr>
      <w:bookmarkStart w:id="48" w:name="bookmark48"/>
      <w:bookmarkEnd w:id="48"/>
      <w:r>
        <w:rPr>
          <w:rFonts w:ascii="Times New Roman" w:eastAsia="Times New Roman" w:hAnsi="Times New Roman" w:cs="Times New Roman"/>
          <w:color w:val="000000"/>
          <w:spacing w:val="0"/>
          <w:w w:val="100"/>
          <w:position w:val="0"/>
          <w:sz w:val="24"/>
          <w:szCs w:val="24"/>
          <w:shd w:val="clear" w:color="auto" w:fill="auto"/>
          <w:lang w:val="cs-CZ" w:eastAsia="cs-CZ" w:bidi="cs-CZ"/>
        </w:rPr>
        <w:t>Při nesplnění finančního plnění k datu postupového termínu ve výši 50 % ceny díla zaplatí zhotovitel objednateli smluvní pokutu ve výši 0,3 % z 50 % ceny díla za každý i započatý kalendářní den prodlení.</w:t>
      </w:r>
    </w:p>
    <w:p>
      <w:pPr>
        <w:pStyle w:val="Style6"/>
        <w:keepNext w:val="0"/>
        <w:keepLines w:val="0"/>
        <w:widowControl w:val="0"/>
        <w:numPr>
          <w:ilvl w:val="0"/>
          <w:numId w:val="15"/>
        </w:numPr>
        <w:shd w:val="clear" w:color="auto" w:fill="auto"/>
        <w:tabs>
          <w:tab w:pos="382" w:val="left"/>
        </w:tabs>
        <w:bidi w:val="0"/>
        <w:spacing w:before="0" w:after="0" w:line="262" w:lineRule="auto"/>
        <w:ind w:left="320" w:right="0" w:hanging="320"/>
        <w:jc w:val="both"/>
      </w:pPr>
      <w:bookmarkStart w:id="49" w:name="bookmark49"/>
      <w:bookmarkEnd w:id="49"/>
      <w:r>
        <w:rPr>
          <w:rFonts w:ascii="Times New Roman" w:eastAsia="Times New Roman" w:hAnsi="Times New Roman" w:cs="Times New Roman"/>
          <w:color w:val="000000"/>
          <w:spacing w:val="0"/>
          <w:w w:val="100"/>
          <w:position w:val="0"/>
          <w:sz w:val="24"/>
          <w:szCs w:val="24"/>
          <w:shd w:val="clear" w:color="auto" w:fill="auto"/>
          <w:lang w:val="cs-CZ" w:eastAsia="cs-CZ" w:bidi="cs-CZ"/>
        </w:rPr>
        <w:t>Při nesplnění termínu splatnosti faktury zaplatí objednatel zhotoviteli úrok z prodlení ve výši 0,3 % z dlužné částky za každý i započatý kalendářní den prodlení.</w:t>
      </w:r>
    </w:p>
    <w:p>
      <w:pPr>
        <w:pStyle w:val="Style6"/>
        <w:keepNext w:val="0"/>
        <w:keepLines w:val="0"/>
        <w:widowControl w:val="0"/>
        <w:numPr>
          <w:ilvl w:val="0"/>
          <w:numId w:val="15"/>
        </w:numPr>
        <w:shd w:val="clear" w:color="auto" w:fill="auto"/>
        <w:tabs>
          <w:tab w:pos="382" w:val="left"/>
        </w:tabs>
        <w:bidi w:val="0"/>
        <w:spacing w:before="0" w:after="120" w:line="262" w:lineRule="auto"/>
        <w:ind w:left="320" w:right="0" w:hanging="320"/>
        <w:jc w:val="both"/>
      </w:pPr>
      <w:bookmarkStart w:id="50" w:name="bookmark50"/>
      <w:bookmarkEnd w:id="50"/>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Sankce se nevztahují na případy, kdy prodlení nebo jiné porušení povinností bylo způsobeno okolnostmi vylučujícími odpovědnost ve smyslu § 2913 odst. 2 zákona č. 89/2012 Sb., pokud nesplnění povinnosti bylo způsobeno jednáním druhé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w:t>
      </w:r>
      <w:r>
        <w:rPr>
          <w:rFonts w:ascii="Times New Roman" w:eastAsia="Times New Roman" w:hAnsi="Times New Roman" w:cs="Times New Roman"/>
          <w:color w:val="000000"/>
          <w:spacing w:val="0"/>
          <w:w w:val="100"/>
          <w:position w:val="0"/>
          <w:sz w:val="24"/>
          <w:szCs w:val="24"/>
          <w:shd w:val="clear" w:color="auto" w:fill="auto"/>
          <w:lang w:val="cs-CZ" w:eastAsia="cs-CZ" w:bidi="cs-CZ"/>
        </w:rPr>
        <w:t>závazných právních předpisů, směrnic či obdobných podmínek, živelné pohromy, teroristický čin apod.).</w:t>
      </w:r>
    </w:p>
    <w:p>
      <w:pPr>
        <w:pStyle w:val="Style10"/>
        <w:keepNext/>
        <w:keepLines/>
        <w:widowControl w:val="0"/>
        <w:numPr>
          <w:ilvl w:val="0"/>
          <w:numId w:val="1"/>
        </w:numPr>
        <w:shd w:val="clear" w:color="auto" w:fill="auto"/>
        <w:tabs>
          <w:tab w:pos="854" w:val="left"/>
        </w:tabs>
        <w:bidi w:val="0"/>
        <w:spacing w:before="0" w:line="240" w:lineRule="auto"/>
        <w:ind w:left="0" w:right="0" w:firstLine="0"/>
        <w:jc w:val="both"/>
      </w:pPr>
      <w:bookmarkStart w:id="51" w:name="bookmark51"/>
      <w:bookmarkStart w:id="52" w:name="bookmark52"/>
      <w:bookmarkStart w:id="53" w:name="bookmark53"/>
      <w:bookmarkStart w:id="54" w:name="bookmark54"/>
      <w:bookmarkEnd w:id="53"/>
      <w:r>
        <w:rPr>
          <w:rFonts w:ascii="Times New Roman" w:eastAsia="Times New Roman" w:hAnsi="Times New Roman" w:cs="Times New Roman"/>
          <w:color w:val="000000"/>
          <w:spacing w:val="0"/>
          <w:w w:val="100"/>
          <w:position w:val="0"/>
          <w:shd w:val="clear" w:color="auto" w:fill="auto"/>
          <w:lang w:val="cs-CZ" w:eastAsia="cs-CZ" w:bidi="cs-CZ"/>
        </w:rPr>
        <w:t>DALŠÍ UJEDNÁNÍ</w:t>
      </w:r>
      <w:bookmarkEnd w:id="51"/>
      <w:bookmarkEnd w:id="52"/>
      <w:bookmarkEnd w:id="54"/>
    </w:p>
    <w:p>
      <w:pPr>
        <w:pStyle w:val="Style6"/>
        <w:keepNext w:val="0"/>
        <w:keepLines w:val="0"/>
        <w:widowControl w:val="0"/>
        <w:numPr>
          <w:ilvl w:val="0"/>
          <w:numId w:val="17"/>
        </w:numPr>
        <w:shd w:val="clear" w:color="auto" w:fill="auto"/>
        <w:tabs>
          <w:tab w:pos="322" w:val="left"/>
        </w:tabs>
        <w:bidi w:val="0"/>
        <w:spacing w:before="0" w:after="0" w:line="240" w:lineRule="auto"/>
        <w:ind w:left="320" w:right="0" w:hanging="320"/>
        <w:jc w:val="both"/>
      </w:pPr>
      <w:bookmarkStart w:id="55" w:name="bookmark55"/>
      <w:bookmarkEnd w:id="55"/>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zajistí pracovníkům zhotovitele přístup na objekty a předá rizika vztahujících se k bezpečnosti a ochraně zdraví osob na vodním díle vyplývajících z prací a technologických postupů prováděných zhotovitelem i všemi poddodavateli, v souladu s § 101 odst. 3 zákona č. 262/2006 Sb., zákoník práce, ve znění pozdějších předpisů.</w:t>
      </w:r>
    </w:p>
    <w:p>
      <w:pPr>
        <w:pStyle w:val="Style6"/>
        <w:keepNext w:val="0"/>
        <w:keepLines w:val="0"/>
        <w:widowControl w:val="0"/>
        <w:numPr>
          <w:ilvl w:val="0"/>
          <w:numId w:val="17"/>
        </w:numPr>
        <w:shd w:val="clear" w:color="auto" w:fill="auto"/>
        <w:tabs>
          <w:tab w:pos="322" w:val="left"/>
        </w:tabs>
        <w:bidi w:val="0"/>
        <w:spacing w:before="0" w:after="0" w:line="240" w:lineRule="auto"/>
        <w:ind w:left="320" w:right="0" w:hanging="320"/>
        <w:jc w:val="both"/>
      </w:pPr>
      <w:bookmarkStart w:id="56" w:name="bookmark56"/>
      <w:bookmarkEnd w:id="56"/>
      <w:r>
        <w:rPr>
          <w:rFonts w:ascii="Times New Roman" w:eastAsia="Times New Roman" w:hAnsi="Times New Roman" w:cs="Times New Roman"/>
          <w:color w:val="000000"/>
          <w:spacing w:val="0"/>
          <w:w w:val="100"/>
          <w:position w:val="0"/>
          <w:sz w:val="24"/>
          <w:szCs w:val="24"/>
          <w:shd w:val="clear" w:color="auto" w:fill="auto"/>
          <w:lang w:val="cs-CZ" w:eastAsia="cs-CZ" w:bidi="cs-CZ"/>
        </w:rPr>
        <w:t>Pokud není ve smlouvě uvedeno jinak, řídí se všechny vztahy mezi smluvními stranami ustanoveními občanského zákoníku. Veškeré změny a dodatky této smlouvy mohou být prováděny pouze po dohodě obou smluvních stran, a to formou číslovaného písemného dodatku řádně podepsaného oprávněnými zástupci obou smluvních stran. Případné změny kontaktních osob či telefonických nebo faxových spojení se považují za změněné dnem doručení doporučeného dopisu oznamujícího tuto změnu druhé smluvní straně.</w:t>
      </w:r>
    </w:p>
    <w:p>
      <w:pPr>
        <w:pStyle w:val="Style6"/>
        <w:keepNext w:val="0"/>
        <w:keepLines w:val="0"/>
        <w:widowControl w:val="0"/>
        <w:numPr>
          <w:ilvl w:val="0"/>
          <w:numId w:val="17"/>
        </w:numPr>
        <w:shd w:val="clear" w:color="auto" w:fill="auto"/>
        <w:tabs>
          <w:tab w:pos="322" w:val="left"/>
        </w:tabs>
        <w:bidi w:val="0"/>
        <w:spacing w:before="0" w:after="0" w:line="240" w:lineRule="auto"/>
        <w:ind w:left="320" w:right="0" w:hanging="320"/>
        <w:jc w:val="both"/>
      </w:pPr>
      <w:bookmarkStart w:id="57" w:name="bookmark57"/>
      <w:bookmarkEnd w:id="57"/>
      <w:r>
        <w:rPr>
          <w:rFonts w:ascii="Times New Roman" w:eastAsia="Times New Roman" w:hAnsi="Times New Roman" w:cs="Times New Roman"/>
          <w:color w:val="000000"/>
          <w:spacing w:val="0"/>
          <w:w w:val="100"/>
          <w:position w:val="0"/>
          <w:sz w:val="24"/>
          <w:szCs w:val="24"/>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6"/>
        <w:keepNext w:val="0"/>
        <w:keepLines w:val="0"/>
        <w:widowControl w:val="0"/>
        <w:numPr>
          <w:ilvl w:val="0"/>
          <w:numId w:val="17"/>
        </w:numPr>
        <w:shd w:val="clear" w:color="auto" w:fill="auto"/>
        <w:tabs>
          <w:tab w:pos="322" w:val="left"/>
        </w:tabs>
        <w:bidi w:val="0"/>
        <w:spacing w:before="0" w:after="0" w:line="240" w:lineRule="auto"/>
        <w:ind w:left="320" w:right="0" w:hanging="320"/>
        <w:jc w:val="both"/>
      </w:pPr>
      <w:bookmarkStart w:id="58" w:name="bookmark58"/>
      <w:bookmarkEnd w:id="58"/>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6"/>
        <w:keepNext w:val="0"/>
        <w:keepLines w:val="0"/>
        <w:widowControl w:val="0"/>
        <w:numPr>
          <w:ilvl w:val="0"/>
          <w:numId w:val="17"/>
        </w:numPr>
        <w:shd w:val="clear" w:color="auto" w:fill="auto"/>
        <w:tabs>
          <w:tab w:pos="322" w:val="left"/>
        </w:tabs>
        <w:bidi w:val="0"/>
        <w:spacing w:before="0" w:after="0" w:line="240" w:lineRule="auto"/>
        <w:ind w:left="320" w:right="0" w:hanging="320"/>
        <w:jc w:val="both"/>
      </w:pPr>
      <w:bookmarkStart w:id="59" w:name="bookmark59"/>
      <w:bookmarkEnd w:id="59"/>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6"/>
        <w:keepNext w:val="0"/>
        <w:keepLines w:val="0"/>
        <w:widowControl w:val="0"/>
        <w:numPr>
          <w:ilvl w:val="0"/>
          <w:numId w:val="17"/>
        </w:numPr>
        <w:shd w:val="clear" w:color="auto" w:fill="auto"/>
        <w:tabs>
          <w:tab w:pos="322" w:val="left"/>
        </w:tabs>
        <w:bidi w:val="0"/>
        <w:spacing w:before="0" w:after="0" w:line="240" w:lineRule="auto"/>
        <w:ind w:left="320" w:right="0" w:hanging="320"/>
        <w:jc w:val="both"/>
      </w:pPr>
      <w:bookmarkStart w:id="60" w:name="bookmark60"/>
      <w:bookmarkEnd w:id="60"/>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6"/>
        <w:keepNext w:val="0"/>
        <w:keepLines w:val="0"/>
        <w:widowControl w:val="0"/>
        <w:numPr>
          <w:ilvl w:val="0"/>
          <w:numId w:val="17"/>
        </w:numPr>
        <w:shd w:val="clear" w:color="auto" w:fill="auto"/>
        <w:tabs>
          <w:tab w:pos="322" w:val="left"/>
        </w:tabs>
        <w:bidi w:val="0"/>
        <w:spacing w:before="0" w:after="0" w:line="240" w:lineRule="auto"/>
        <w:ind w:left="320" w:right="0" w:hanging="320"/>
        <w:jc w:val="both"/>
      </w:pPr>
      <w:bookmarkStart w:id="61" w:name="bookmark61"/>
      <w:bookmarkEnd w:id="61"/>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6"/>
        <w:keepNext w:val="0"/>
        <w:keepLines w:val="0"/>
        <w:widowControl w:val="0"/>
        <w:numPr>
          <w:ilvl w:val="0"/>
          <w:numId w:val="17"/>
        </w:numPr>
        <w:shd w:val="clear" w:color="auto" w:fill="auto"/>
        <w:tabs>
          <w:tab w:pos="322" w:val="left"/>
        </w:tabs>
        <w:bidi w:val="0"/>
        <w:spacing w:before="0" w:after="0" w:line="240" w:lineRule="auto"/>
        <w:ind w:left="320" w:right="0" w:hanging="320"/>
        <w:jc w:val="both"/>
      </w:pPr>
      <w:bookmarkStart w:id="62" w:name="bookmark62"/>
      <w:bookmarkEnd w:id="62"/>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6"/>
        <w:keepNext w:val="0"/>
        <w:keepLines w:val="0"/>
        <w:widowControl w:val="0"/>
        <w:numPr>
          <w:ilvl w:val="0"/>
          <w:numId w:val="17"/>
        </w:numPr>
        <w:shd w:val="clear" w:color="auto" w:fill="auto"/>
        <w:tabs>
          <w:tab w:pos="322" w:val="left"/>
        </w:tabs>
        <w:bidi w:val="0"/>
        <w:spacing w:before="0" w:after="0" w:line="240" w:lineRule="auto"/>
        <w:ind w:left="320" w:right="0" w:hanging="320"/>
        <w:jc w:val="both"/>
      </w:pPr>
      <w:bookmarkStart w:id="63" w:name="bookmark63"/>
      <w:bookmarkEnd w:id="63"/>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Zhotovitel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http://www.poh.cz/protikorupcni-a-compliance- program/d-1346/p1=1458</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6"/>
        <w:keepNext w:val="0"/>
        <w:keepLines w:val="0"/>
        <w:widowControl w:val="0"/>
        <w:shd w:val="clear" w:color="auto" w:fill="auto"/>
        <w:bidi w:val="0"/>
        <w:spacing w:before="0" w:after="120" w:line="240" w:lineRule="auto"/>
        <w:ind w:left="320" w:right="0" w:hanging="320"/>
        <w:jc w:val="both"/>
      </w:pPr>
      <w:bookmarkStart w:id="64" w:name="bookmark64"/>
      <w:r>
        <w:rPr>
          <w:rFonts w:ascii="Times New Roman" w:eastAsia="Times New Roman" w:hAnsi="Times New Roman" w:cs="Times New Roman"/>
          <w:color w:val="000000"/>
          <w:spacing w:val="0"/>
          <w:w w:val="100"/>
          <w:position w:val="0"/>
          <w:sz w:val="24"/>
          <w:szCs w:val="24"/>
          <w:shd w:val="clear" w:color="auto" w:fill="auto"/>
          <w:lang w:val="cs-CZ" w:eastAsia="cs-CZ" w:bidi="cs-CZ"/>
        </w:rPr>
        <w:t>1</w:t>
      </w:r>
      <w:bookmarkEnd w:id="64"/>
      <w:r>
        <w:rPr>
          <w:rFonts w:ascii="Times New Roman" w:eastAsia="Times New Roman" w:hAnsi="Times New Roman" w:cs="Times New Roman"/>
          <w:color w:val="000000"/>
          <w:spacing w:val="0"/>
          <w:w w:val="100"/>
          <w:position w:val="0"/>
          <w:sz w:val="24"/>
          <w:szCs w:val="24"/>
          <w:shd w:val="clear" w:color="auto" w:fill="auto"/>
          <w:lang w:val="cs-CZ" w:eastAsia="cs-CZ" w:bidi="cs-CZ"/>
        </w:rPr>
        <w:t>0.Smluvní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r>
        <w:br w:type="page"/>
      </w:r>
    </w:p>
    <w:p>
      <w:pPr>
        <w:pStyle w:val="Style6"/>
        <w:keepNext w:val="0"/>
        <w:keepLines w:val="0"/>
        <w:widowControl w:val="0"/>
        <w:numPr>
          <w:ilvl w:val="0"/>
          <w:numId w:val="19"/>
        </w:numPr>
        <w:shd w:val="clear" w:color="auto" w:fill="auto"/>
        <w:tabs>
          <w:tab w:pos="502" w:val="left"/>
        </w:tabs>
        <w:bidi w:val="0"/>
        <w:spacing w:before="0" w:after="0" w:line="240" w:lineRule="auto"/>
        <w:ind w:left="0" w:right="0" w:firstLine="0"/>
        <w:jc w:val="both"/>
      </w:pPr>
      <w:bookmarkStart w:id="65" w:name="bookmark65"/>
      <w:bookmarkEnd w:id="65"/>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nepovažují žádné ustanovení smlouvy za obchodní tajemství.</w:t>
      </w:r>
    </w:p>
    <w:p>
      <w:pPr>
        <w:pStyle w:val="Style6"/>
        <w:keepNext w:val="0"/>
        <w:keepLines w:val="0"/>
        <w:widowControl w:val="0"/>
        <w:numPr>
          <w:ilvl w:val="0"/>
          <w:numId w:val="19"/>
        </w:numPr>
        <w:shd w:val="clear" w:color="auto" w:fill="auto"/>
        <w:tabs>
          <w:tab w:pos="502" w:val="left"/>
        </w:tabs>
        <w:bidi w:val="0"/>
        <w:spacing w:before="0" w:after="0" w:line="240" w:lineRule="auto"/>
        <w:ind w:left="0" w:right="0" w:firstLine="0"/>
        <w:jc w:val="both"/>
      </w:pPr>
      <w:bookmarkStart w:id="66" w:name="bookmark66"/>
      <w:bookmarkEnd w:id="66"/>
      <w:r>
        <w:rPr>
          <w:rFonts w:ascii="Times New Roman" w:eastAsia="Times New Roman" w:hAnsi="Times New Roman" w:cs="Times New Roman"/>
          <w:color w:val="000000"/>
          <w:spacing w:val="0"/>
          <w:w w:val="100"/>
          <w:position w:val="0"/>
          <w:sz w:val="24"/>
          <w:szCs w:val="24"/>
          <w:shd w:val="clear" w:color="auto" w:fill="auto"/>
          <w:lang w:val="cs-CZ" w:eastAsia="cs-CZ" w:bidi="cs-CZ"/>
        </w:rPr>
        <w:t>Ochrana a zpracování osobních údajů</w:t>
      </w:r>
    </w:p>
    <w:p>
      <w:pPr>
        <w:pStyle w:val="Style6"/>
        <w:keepNext w:val="0"/>
        <w:keepLines w:val="0"/>
        <w:widowControl w:val="0"/>
        <w:shd w:val="clear" w:color="auto" w:fill="auto"/>
        <w:bidi w:val="0"/>
        <w:spacing w:before="0" w:after="0" w:line="240" w:lineRule="auto"/>
        <w:ind w:left="340" w:right="0" w:firstLine="20"/>
        <w:jc w:val="both"/>
        <w:rPr>
          <w:sz w:val="22"/>
          <w:szCs w:val="22"/>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http://www.poh.cz/informace-o-zpracovani-osobnich- udaju/d-1369/p1=1459</w:t>
      </w:r>
      <w:r>
        <w:fldChar w:fldCharType="end"/>
      </w:r>
      <w:r>
        <w:rPr>
          <w:rFonts w:ascii="Times New Roman" w:eastAsia="Times New Roman" w:hAnsi="Times New Roman" w:cs="Times New Roman"/>
          <w:color w:val="000000"/>
          <w:spacing w:val="0"/>
          <w:w w:val="100"/>
          <w:position w:val="0"/>
          <w:sz w:val="22"/>
          <w:szCs w:val="22"/>
          <w:shd w:val="clear" w:color="auto" w:fill="auto"/>
          <w:lang w:val="cs-CZ" w:eastAsia="cs-CZ" w:bidi="cs-CZ"/>
        </w:rPr>
        <w:t>.</w:t>
      </w:r>
    </w:p>
    <w:p>
      <w:pPr>
        <w:pStyle w:val="Style6"/>
        <w:keepNext w:val="0"/>
        <w:keepLines w:val="0"/>
        <w:widowControl w:val="0"/>
        <w:shd w:val="clear" w:color="auto" w:fill="auto"/>
        <w:bidi w:val="0"/>
        <w:spacing w:before="0" w:after="0" w:line="240" w:lineRule="auto"/>
        <w:ind w:left="340" w:right="0" w:hanging="3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13.Objednatel podpisem této smlouvy přebírá povinnosti uvedené v Čestném prohlášení o zajištění sociálně odpovědného plnění předmětu veřejné zakázky, které je součástí nabídky objednatele podané v rámci Veřejné zakázky. Zhotovitel je oprávněn plnění těchto povinností kdykoliv kontrolovat, a to i bez předchozího ohlášení objednateli. Je-li k provedení kontroly potřeba předložení dokumentů, zavazuje se objednatel k jejich předložení nejpozději do 2 pracovních dnů od doručení výzvy zhotovitele.</w:t>
      </w:r>
    </w:p>
    <w:p>
      <w:pPr>
        <w:pStyle w:val="Style6"/>
        <w:keepNext w:val="0"/>
        <w:keepLines w:val="0"/>
        <w:widowControl w:val="0"/>
        <w:numPr>
          <w:ilvl w:val="0"/>
          <w:numId w:val="21"/>
        </w:numPr>
        <w:shd w:val="clear" w:color="auto" w:fill="auto"/>
        <w:tabs>
          <w:tab w:pos="502" w:val="left"/>
        </w:tabs>
        <w:bidi w:val="0"/>
        <w:spacing w:before="0" w:after="0" w:line="240" w:lineRule="auto"/>
        <w:ind w:left="340" w:right="0" w:hanging="340"/>
        <w:jc w:val="both"/>
      </w:pPr>
      <w:bookmarkStart w:id="67" w:name="bookmark67"/>
      <w:bookmarkEnd w:id="67"/>
      <w:r>
        <w:rPr>
          <w:rFonts w:ascii="Times New Roman" w:eastAsia="Times New Roman" w:hAnsi="Times New Roman" w:cs="Times New Roman"/>
          <w:color w:val="000000"/>
          <w:spacing w:val="0"/>
          <w:w w:val="100"/>
          <w:position w:val="0"/>
          <w:sz w:val="24"/>
          <w:szCs w:val="24"/>
          <w:shd w:val="clear" w:color="auto" w:fill="auto"/>
          <w:lang w:val="cs-CZ" w:eastAsia="cs-CZ" w:bidi="cs-CZ"/>
        </w:rPr>
        <w:t>Na svědectví tohoto smluvní strany tímto podepisují smlouvu. Tato smlouva je vyhotovena ve třech vyhotoveních, z nichž každé má platnost originálu. Po jejím podepsání obdrží objednatel dva a zhotovitel jeden výtisk.</w:t>
      </w:r>
    </w:p>
    <w:p>
      <w:pPr>
        <w:pStyle w:val="Style6"/>
        <w:keepNext w:val="0"/>
        <w:keepLines w:val="0"/>
        <w:widowControl w:val="0"/>
        <w:numPr>
          <w:ilvl w:val="0"/>
          <w:numId w:val="21"/>
        </w:numPr>
        <w:shd w:val="clear" w:color="auto" w:fill="auto"/>
        <w:tabs>
          <w:tab w:pos="502" w:val="left"/>
        </w:tabs>
        <w:bidi w:val="0"/>
        <w:spacing w:before="0" w:after="220" w:line="240" w:lineRule="auto"/>
        <w:ind w:left="340" w:right="0" w:hanging="340"/>
        <w:jc w:val="both"/>
      </w:pPr>
      <w:bookmarkStart w:id="68" w:name="bookmark68"/>
      <w:bookmarkEnd w:id="68"/>
      <w:r>
        <w:rPr>
          <w:rFonts w:ascii="Times New Roman" w:eastAsia="Times New Roman" w:hAnsi="Times New Roman" w:cs="Times New Roman"/>
          <w:color w:val="000000"/>
          <w:spacing w:val="0"/>
          <w:w w:val="100"/>
          <w:position w:val="0"/>
          <w:sz w:val="24"/>
          <w:szCs w:val="24"/>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14"/>
        <w:keepNext/>
        <w:keepLines/>
        <w:widowControl w:val="0"/>
        <w:shd w:val="clear" w:color="auto" w:fill="auto"/>
        <w:bidi w:val="0"/>
        <w:spacing w:before="0" w:line="240" w:lineRule="auto"/>
        <w:ind w:left="0" w:right="0" w:firstLine="340"/>
        <w:jc w:val="both"/>
      </w:pPr>
      <w:bookmarkStart w:id="69" w:name="bookmark69"/>
      <w:bookmarkStart w:id="70" w:name="bookmark70"/>
      <w:bookmarkStart w:id="71" w:name="bookmark71"/>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1)Tato smlouva</w:t>
      </w:r>
      <w:bookmarkEnd w:id="69"/>
      <w:bookmarkEnd w:id="70"/>
      <w:bookmarkEnd w:id="71"/>
    </w:p>
    <w:p>
      <w:pPr>
        <w:pStyle w:val="Style14"/>
        <w:keepNext/>
        <w:keepLines/>
        <w:widowControl w:val="0"/>
        <w:shd w:val="clear" w:color="auto" w:fill="auto"/>
        <w:bidi w:val="0"/>
        <w:spacing w:before="0" w:after="0" w:line="240" w:lineRule="auto"/>
        <w:ind w:left="0" w:right="0" w:firstLine="340"/>
        <w:jc w:val="both"/>
      </w:pPr>
      <w:bookmarkStart w:id="72" w:name="bookmark72"/>
      <w:bookmarkStart w:id="73" w:name="bookmark73"/>
      <w:bookmarkStart w:id="74" w:name="bookmark74"/>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2) Příloha č.1: Soupis prací</w:t>
      </w:r>
      <w:bookmarkEnd w:id="72"/>
      <w:bookmarkEnd w:id="73"/>
      <w:bookmarkEnd w:id="74"/>
    </w:p>
    <w:p>
      <w:pPr>
        <w:pStyle w:val="Style14"/>
        <w:keepNext/>
        <w:keepLines/>
        <w:widowControl w:val="0"/>
        <w:shd w:val="clear" w:color="auto" w:fill="auto"/>
        <w:bidi w:val="0"/>
        <w:spacing w:before="0" w:line="240" w:lineRule="auto"/>
        <w:ind w:right="0"/>
        <w:jc w:val="both"/>
      </w:pPr>
      <w:bookmarkStart w:id="75" w:name="bookmark75"/>
      <w:bookmarkStart w:id="76" w:name="bookmark76"/>
      <w:bookmarkStart w:id="77" w:name="bookmark77"/>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1)Příloha č.2: Čestné prohlášení o společensky odpovědném plnění veřejné zakázky.</w:t>
      </w:r>
      <w:bookmarkEnd w:id="75"/>
      <w:bookmarkEnd w:id="76"/>
      <w:bookmarkEnd w:id="77"/>
    </w:p>
    <w:p>
      <w:pPr>
        <w:pStyle w:val="Style14"/>
        <w:keepNext/>
        <w:keepLines/>
        <w:widowControl w:val="0"/>
        <w:shd w:val="clear" w:color="auto" w:fill="auto"/>
        <w:bidi w:val="0"/>
        <w:spacing w:before="0" w:line="240" w:lineRule="auto"/>
        <w:ind w:right="0"/>
        <w:jc w:val="both"/>
      </w:pPr>
      <w:bookmarkStart w:id="78" w:name="bookmark78"/>
      <w:bookmarkStart w:id="79" w:name="bookmark79"/>
      <w:bookmarkStart w:id="80" w:name="bookmark80"/>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1)Příloha č.3: Čestné prohlášení k finančním sankcím</w:t>
      </w:r>
      <w:bookmarkEnd w:id="78"/>
      <w:bookmarkEnd w:id="79"/>
      <w:bookmarkEnd w:id="80"/>
    </w:p>
    <w:p>
      <w:pPr>
        <w:pStyle w:val="Style14"/>
        <w:keepNext/>
        <w:keepLines/>
        <w:widowControl w:val="0"/>
        <w:shd w:val="clear" w:color="auto" w:fill="auto"/>
        <w:bidi w:val="0"/>
        <w:spacing w:before="0" w:after="180" w:line="240" w:lineRule="auto"/>
        <w:ind w:right="0"/>
        <w:jc w:val="both"/>
      </w:pPr>
      <w:bookmarkStart w:id="81" w:name="bookmark81"/>
      <w:bookmarkStart w:id="82" w:name="bookmark82"/>
      <w:bookmarkStart w:id="83" w:name="bookmark83"/>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1)Příloha č.4: Čestné prohlášení o neexistenci střetu zájmů</w:t>
      </w:r>
      <w:bookmarkEnd w:id="81"/>
      <w:bookmarkEnd w:id="82"/>
      <w:bookmarkEnd w:id="83"/>
    </w:p>
    <w:p>
      <w:pPr>
        <w:pStyle w:val="Style14"/>
        <w:keepNext/>
        <w:keepLines/>
        <w:widowControl w:val="0"/>
        <w:shd w:val="clear" w:color="auto" w:fill="auto"/>
        <w:bidi w:val="0"/>
        <w:spacing w:before="0" w:after="800" w:line="240" w:lineRule="auto"/>
        <w:ind w:right="0"/>
        <w:jc w:val="both"/>
      </w:pPr>
      <w:bookmarkStart w:id="84" w:name="bookmark84"/>
      <w:bookmarkStart w:id="85" w:name="bookmark85"/>
      <w:bookmarkStart w:id="86" w:name="bookmark86"/>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1) Příloha č.5: Čestné prohlášení o splnění požadavků veřejné zakázky k rozsahu činností dodavatele.</w:t>
      </w:r>
      <w:bookmarkEnd w:id="84"/>
      <w:bookmarkEnd w:id="85"/>
      <w:bookmarkEnd w:id="86"/>
    </w:p>
    <w:p>
      <w:pPr>
        <w:pStyle w:val="Style6"/>
        <w:keepNext w:val="0"/>
        <w:keepLines w:val="0"/>
        <w:widowControl w:val="0"/>
        <w:shd w:val="clear" w:color="auto" w:fill="auto"/>
        <w:bidi w:val="0"/>
        <w:spacing w:before="0" w:after="18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4577715</wp:posOffset>
                </wp:positionH>
                <wp:positionV relativeFrom="paragraph">
                  <wp:posOffset>12700</wp:posOffset>
                </wp:positionV>
                <wp:extent cx="819785" cy="570230"/>
                <wp:wrapSquare wrapText="left"/>
                <wp:docPr id="6" name="Shape 6"/>
                <a:graphic xmlns:a="http://schemas.openxmlformats.org/drawingml/2006/main">
                  <a:graphicData uri="http://schemas.microsoft.com/office/word/2010/wordprocessingShape">
                    <wps:wsp>
                      <wps:cNvSpPr txBox="1"/>
                      <wps:spPr>
                        <a:xfrm>
                          <a:ext cx="819785" cy="570230"/>
                        </a:xfrm>
                        <a:prstGeom prst="rect"/>
                        <a:noFill/>
                      </wps:spPr>
                      <wps:txbx>
                        <w:txbxContent>
                          <w:p>
                            <w:pPr>
                              <w:pStyle w:val="Style6"/>
                              <w:keepNext w:val="0"/>
                              <w:keepLines w:val="0"/>
                              <w:widowControl w:val="0"/>
                              <w:shd w:val="clear" w:color="auto" w:fill="auto"/>
                              <w:bidi w:val="0"/>
                              <w:spacing w:before="0" w:after="18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 Praze dne:</w:t>
                            </w:r>
                          </w:p>
                          <w:p>
                            <w:pPr>
                              <w:pStyle w:val="Style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Zhotovitel:</w:t>
                            </w:r>
                          </w:p>
                        </w:txbxContent>
                      </wps:txbx>
                      <wps:bodyPr lIns="0" tIns="0" rIns="0" bIns="0">
                        <a:noAutoFit/>
                      </wps:bodyPr>
                    </wps:wsp>
                  </a:graphicData>
                </a:graphic>
              </wp:anchor>
            </w:drawing>
          </mc:Choice>
          <mc:Fallback>
            <w:pict>
              <v:shape id="_x0000_s1032" type="#_x0000_t202" style="position:absolute;margin-left:360.44999999999999pt;margin-top:1.pt;width:64.549999999999997pt;height:44.899999999999999pt;z-index:-125829375;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18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 Praze dne:</w:t>
                      </w:r>
                    </w:p>
                    <w:p>
                      <w:pPr>
                        <w:pStyle w:val="Style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Zhotovitel:</w:t>
                      </w:r>
                    </w:p>
                  </w:txbxContent>
                </v:textbox>
                <w10:wrap type="square" side="left" anchorx="page"/>
              </v:shape>
            </w:pict>
          </mc:Fallback>
        </mc:AlternateContent>
      </w:r>
      <w:r>
        <w:rPr>
          <w:rFonts w:ascii="Times New Roman" w:eastAsia="Times New Roman" w:hAnsi="Times New Roman" w:cs="Times New Roman"/>
          <w:color w:val="000000"/>
          <w:spacing w:val="0"/>
          <w:w w:val="100"/>
          <w:position w:val="0"/>
          <w:sz w:val="24"/>
          <w:szCs w:val="24"/>
          <w:shd w:val="clear" w:color="auto" w:fill="auto"/>
          <w:lang w:val="cs-CZ" w:eastAsia="cs-CZ" w:bidi="cs-CZ"/>
        </w:rPr>
        <w:t>V Chomutově dne:</w:t>
      </w:r>
    </w:p>
    <w:p>
      <w:pPr>
        <w:pStyle w:val="Style6"/>
        <w:keepNext w:val="0"/>
        <w:keepLines w:val="0"/>
        <w:widowControl w:val="0"/>
        <w:shd w:val="clear" w:color="auto" w:fill="auto"/>
        <w:bidi w:val="0"/>
        <w:spacing w:before="0" w:after="180" w:line="240" w:lineRule="auto"/>
        <w:ind w:left="0" w:right="0" w:firstLine="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Objednatel:</w:t>
      </w:r>
    </w:p>
    <w:sectPr>
      <w:footnotePr>
        <w:pos w:val="pageBottom"/>
        <w:numFmt w:val="decimal"/>
        <w:numRestart w:val="continuous"/>
      </w:footnotePr>
      <w:pgSz w:w="11909" w:h="16838"/>
      <w:pgMar w:top="1353" w:left="1665" w:right="1055" w:bottom="167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3890645</wp:posOffset>
              </wp:positionH>
              <wp:positionV relativeFrom="page">
                <wp:posOffset>9924415</wp:posOffset>
              </wp:positionV>
              <wp:extent cx="69850" cy="189230"/>
              <wp:wrapNone/>
              <wp:docPr id="4" name="Shape 4"/>
              <a:graphic xmlns:a="http://schemas.openxmlformats.org/drawingml/2006/main">
                <a:graphicData uri="http://schemas.microsoft.com/office/word/2010/wordprocessingShape">
                  <wps:wsp>
                    <wps:cNvSpPr txBox="1"/>
                    <wps:spPr>
                      <a:xfrm>
                        <a:ext cx="69850"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0" type="#_x0000_t202" style="position:absolute;margin-left:306.35000000000002pt;margin-top:781.45000000000005pt;width:5.5pt;height:14.9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1144270</wp:posOffset>
              </wp:positionH>
              <wp:positionV relativeFrom="page">
                <wp:posOffset>462915</wp:posOffset>
              </wp:positionV>
              <wp:extent cx="4645025" cy="170815"/>
              <wp:wrapNone/>
              <wp:docPr id="1" name="Shape 1"/>
              <a:graphic xmlns:a="http://schemas.openxmlformats.org/drawingml/2006/main">
                <a:graphicData uri="http://schemas.microsoft.com/office/word/2010/wordprocessingShape">
                  <wps:wsp>
                    <wps:cNvSpPr txBox="1"/>
                    <wps:spPr>
                      <a:xfrm>
                        <a:ext cx="4645025" cy="170815"/>
                      </a:xfrm>
                      <a:prstGeom prst="rect"/>
                      <a:noFill/>
                    </wps:spPr>
                    <wps:txbx>
                      <w:txbxContent>
                        <w:p>
                          <w:pPr>
                            <w:pStyle w:val="Style2"/>
                            <w:keepNext w:val="0"/>
                            <w:keepLines w:val="0"/>
                            <w:widowControl w:val="0"/>
                            <w:shd w:val="clear" w:color="auto" w:fill="auto"/>
                            <w:tabs>
                              <w:tab w:pos="7315" w:val="righ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Číslo objednatele:</w:t>
                            <w:tab/>
                            <w:t>Číslo zhotovitele: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0.100000000000009pt;margin-top:36.450000000000003pt;width:365.75pt;height:13.450000000000001pt;z-index:-18874406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7315" w:val="righ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Číslo objednatele:</w:t>
                      <w:tab/>
                      <w:t>Číslo zhotovitele:</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1095375</wp:posOffset>
              </wp:positionH>
              <wp:positionV relativeFrom="page">
                <wp:posOffset>713105</wp:posOffset>
              </wp:positionV>
              <wp:extent cx="5757545" cy="0"/>
              <wp:wrapNone/>
              <wp:docPr id="3" name="Shape 3"/>
              <a:graphic xmlns:a="http://schemas.openxmlformats.org/drawingml/2006/main">
                <a:graphicData uri="http://schemas.microsoft.com/office/word/2010/wordprocessingShape">
                  <wps:wsp>
                    <wps:cNvCnPr/>
                    <wps:spPr>
                      <a:xfrm>
                        <a:ext cx="5757545" cy="0"/>
                      </a:xfrm>
                      <a:prstGeom prst="straightConnector1"/>
                      <a:ln w="12700">
                        <a:solidFill/>
                      </a:ln>
                    </wps:spPr>
                    <wps:bodyPr/>
                  </wps:wsp>
                </a:graphicData>
              </a:graphic>
            </wp:anchor>
          </w:drawing>
        </mc:Choice>
        <mc:Fallback>
          <w:pict>
            <v:shape o:spt="32" o:oned="true" path="m,l21600,21600e" style="position:absolute;margin-left:86.25pt;margin-top:56.149999999999999pt;width:453.35000000000002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7">
    <w:name w:val="Char Style 7"/>
    <w:basedOn w:val="DefaultParagraphFont"/>
    <w:link w:val="Style6"/>
    <w:rPr>
      <w:b w:val="0"/>
      <w:bCs w:val="0"/>
      <w:i w:val="0"/>
      <w:iCs w:val="0"/>
      <w:smallCaps w:val="0"/>
      <w:strike w:val="0"/>
      <w:u w:val="none"/>
    </w:rPr>
  </w:style>
  <w:style w:type="character" w:customStyle="1" w:styleId="CharStyle11">
    <w:name w:val="Char Style 11"/>
    <w:basedOn w:val="DefaultParagraphFont"/>
    <w:link w:val="Style10"/>
    <w:rPr>
      <w:b/>
      <w:bCs/>
      <w:i w:val="0"/>
      <w:iCs w:val="0"/>
      <w:smallCaps w:val="0"/>
      <w:strike w:val="0"/>
      <w:sz w:val="28"/>
      <w:szCs w:val="28"/>
      <w:u w:val="none"/>
    </w:rPr>
  </w:style>
  <w:style w:type="character" w:customStyle="1" w:styleId="CharStyle15">
    <w:name w:val="Char Style 15"/>
    <w:basedOn w:val="DefaultParagraphFont"/>
    <w:link w:val="Style14"/>
    <w:rPr>
      <w:b w:val="0"/>
      <w:bCs w:val="0"/>
      <w:i w:val="0"/>
      <w:iCs w:val="0"/>
      <w:smallCaps w:val="0"/>
      <w:strike w:val="0"/>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u w:val="none"/>
    </w:rPr>
  </w:style>
  <w:style w:type="paragraph" w:customStyle="1" w:styleId="Style10">
    <w:name w:val="Style 10"/>
    <w:basedOn w:val="Normal"/>
    <w:link w:val="CharStyle11"/>
    <w:pPr>
      <w:widowControl w:val="0"/>
      <w:shd w:val="clear" w:color="auto" w:fill="FFFFFF"/>
      <w:spacing w:after="120"/>
      <w:outlineLvl w:val="0"/>
    </w:pPr>
    <w:rPr>
      <w:b/>
      <w:bCs/>
      <w:i w:val="0"/>
      <w:iCs w:val="0"/>
      <w:smallCaps w:val="0"/>
      <w:strike w:val="0"/>
      <w:sz w:val="28"/>
      <w:szCs w:val="28"/>
      <w:u w:val="none"/>
    </w:rPr>
  </w:style>
  <w:style w:type="paragraph" w:customStyle="1" w:styleId="Style14">
    <w:name w:val="Style 14"/>
    <w:basedOn w:val="Normal"/>
    <w:link w:val="CharStyle15"/>
    <w:pPr>
      <w:widowControl w:val="0"/>
      <w:shd w:val="clear" w:color="auto" w:fill="FFFFFF"/>
      <w:spacing w:after="60"/>
      <w:ind w:left="340" w:firstLine="20"/>
      <w:outlineLvl w:val="1"/>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veze 01/2010</dc:subject>
  <dc:creator>Smrž Petr</dc:creator>
  <cp:keywords/>
</cp:coreProperties>
</file>