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098" w:left="1668" w:right="1745" w:bottom="1209" w:header="0" w:footer="3" w:gutter="0"/>
          <w:pgNumType w:start="1"/>
          <w:cols w:space="720"/>
          <w:noEndnote/>
          <w:rtlGutter w:val="0"/>
          <w:docGrid w:linePitch="360"/>
        </w:sectPr>
      </w:pPr>
    </w:p>
    <w:p>
      <w:pPr>
        <w:pStyle w:val="Style6"/>
        <w:keepNext w:val="0"/>
        <w:keepLines w:val="0"/>
        <w:framePr w:w="6475" w:h="1200" w:wrap="none" w:vAnchor="text" w:hAnchor="page" w:x="3022" w:y="21"/>
        <w:widowControl w:val="0"/>
        <w:pBdr>
          <w:bottom w:val="single" w:sz="4" w:space="0" w:color="auto"/>
        </w:pBdr>
        <w:shd w:val="clear" w:color="auto" w:fill="auto"/>
        <w:bidi w:val="0"/>
        <w:spacing w:before="0" w:after="0" w:line="228" w:lineRule="auto"/>
        <w:ind w:left="0" w:right="0" w:firstLine="0"/>
        <w:jc w:val="center"/>
      </w:pPr>
      <w:r>
        <w:rPr>
          <w:rFonts w:ascii="Times New Roman" w:eastAsia="Times New Roman" w:hAnsi="Times New Roman" w:cs="Times New Roman"/>
          <w:b/>
          <w:bCs/>
          <w:color w:val="000000"/>
          <w:spacing w:val="0"/>
          <w:w w:val="100"/>
          <w:position w:val="0"/>
          <w:sz w:val="40"/>
          <w:szCs w:val="40"/>
          <w:shd w:val="clear" w:color="auto" w:fill="auto"/>
          <w:lang w:val="cs-CZ" w:eastAsia="cs-CZ" w:bidi="cs-CZ"/>
        </w:rPr>
        <w:t>S M L O U V A O D Í L O</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uzavřená podle ustanovení § 2586 a násl. zákona č. 89/2012Sb.,</w:t>
        <w:br/>
        <w:t>Občanského zákoníku v platném znění</w:t>
      </w:r>
    </w:p>
    <w:p>
      <w:pPr>
        <w:pStyle w:val="Style6"/>
        <w:keepNext w:val="0"/>
        <w:keepLines w:val="0"/>
        <w:framePr w:w="2990" w:h="389" w:wrap="none" w:vAnchor="text" w:hAnchor="page" w:x="1669" w:y="1484"/>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Číslo objednatele: 1279/2024</w:t>
      </w:r>
    </w:p>
    <w:p>
      <w:pPr>
        <w:pStyle w:val="Style6"/>
        <w:keepNext w:val="0"/>
        <w:keepLines w:val="0"/>
        <w:framePr w:w="1824" w:h="389" w:wrap="none" w:vAnchor="text" w:hAnchor="page" w:x="7011" w:y="1484"/>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Číslo zhotovitele:</w:t>
      </w:r>
    </w:p>
    <w:p>
      <w:pPr>
        <w:pStyle w:val="Style10"/>
        <w:keepNext/>
        <w:keepLines/>
        <w:framePr w:w="3456" w:h="442" w:wrap="none" w:vAnchor="text" w:hAnchor="page" w:x="1669" w:y="2017"/>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I. SMLUVNÍ STRANY</w:t>
      </w:r>
      <w:bookmarkEnd w:id="0"/>
      <w:bookmarkEnd w:id="1"/>
      <w:bookmarkEnd w:id="2"/>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firma:</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p>
      <w:pPr>
        <w:pStyle w:val="Style6"/>
        <w:keepNext w:val="0"/>
        <w:keepLines w:val="0"/>
        <w:framePr w:w="3221" w:h="4522" w:wrap="none" w:vAnchor="text" w:hAnchor="page" w:x="1669" w:y="2502"/>
        <w:widowControl w:val="0"/>
        <w:shd w:val="clear" w:color="auto" w:fill="auto"/>
        <w:bidi w:val="0"/>
        <w:spacing w:before="0" w:after="24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objednatele: Zástupce ve věcech smluvních: Zástupce ve věcech technických: IČO:</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a adresa banky:</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Číslo účtu:</w:t>
      </w:r>
    </w:p>
    <w:p>
      <w:pPr>
        <w:pStyle w:val="Style6"/>
        <w:keepNext w:val="0"/>
        <w:keepLines w:val="0"/>
        <w:framePr w:w="3221" w:h="4522" w:wrap="none" w:vAnchor="text" w:hAnchor="page" w:x="1669" w:y="2502"/>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Telefon (fax):</w:t>
      </w:r>
    </w:p>
    <w:p>
      <w:pPr>
        <w:pStyle w:val="Style6"/>
        <w:keepNext w:val="0"/>
        <w:keepLines w:val="0"/>
        <w:framePr w:w="3221" w:h="4522" w:wrap="none" w:vAnchor="text" w:hAnchor="page" w:x="1669" w:y="2502"/>
        <w:widowControl w:val="0"/>
        <w:shd w:val="clear" w:color="auto" w:fill="auto"/>
        <w:bidi w:val="0"/>
        <w:spacing w:before="0" w:after="14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r>
    </w:p>
    <w:p>
      <w:pPr>
        <w:pStyle w:val="Style6"/>
        <w:keepNext w:val="0"/>
        <w:keepLines w:val="0"/>
        <w:framePr w:w="5069" w:h="1291" w:wrap="none" w:vAnchor="text" w:hAnchor="page" w:x="5096" w:y="2876"/>
        <w:widowControl w:val="0"/>
        <w:shd w:val="clear" w:color="auto" w:fill="auto"/>
        <w:bidi w:val="0"/>
        <w:spacing w:before="0" w:after="0" w:line="240" w:lineRule="auto"/>
        <w:ind w:left="140" w:right="0" w:hanging="14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6"/>
        <w:keepNext w:val="0"/>
        <w:keepLines w:val="0"/>
        <w:framePr w:w="5069" w:h="1291" w:wrap="none" w:vAnchor="text" w:hAnchor="page" w:x="5096" w:y="2876"/>
        <w:widowControl w:val="0"/>
        <w:shd w:val="clear" w:color="auto" w:fill="auto"/>
        <w:bidi w:val="0"/>
        <w:spacing w:before="0" w:after="0" w:line="240" w:lineRule="auto"/>
        <w:ind w:left="140" w:right="0" w:hanging="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p>
      <w:pPr>
        <w:pStyle w:val="Style6"/>
        <w:keepNext w:val="0"/>
        <w:keepLines w:val="0"/>
        <w:framePr w:w="5069" w:h="1291" w:wrap="none" w:vAnchor="text" w:hAnchor="page" w:x="5096" w:y="2876"/>
        <w:widowControl w:val="0"/>
        <w:shd w:val="clear" w:color="auto" w:fill="auto"/>
        <w:bidi w:val="0"/>
        <w:spacing w:before="0" w:after="0" w:line="240" w:lineRule="auto"/>
        <w:ind w:left="140" w:right="0" w:hanging="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u Krajského soudu v Ústí n. Labem, oddíl A, vložka č. 13052</w:t>
      </w:r>
    </w:p>
    <w:p>
      <w:pPr>
        <w:pStyle w:val="Style6"/>
        <w:keepNext w:val="0"/>
        <w:keepLines w:val="0"/>
        <w:framePr w:w="2789" w:h="1709" w:wrap="none" w:vAnchor="text" w:hAnchor="page" w:x="1669" w:y="7263"/>
        <w:widowControl w:val="0"/>
        <w:shd w:val="clear" w:color="auto" w:fill="auto"/>
        <w:bidi w:val="0"/>
        <w:spacing w:before="0" w:after="4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p>
      <w:pPr>
        <w:pStyle w:val="Style6"/>
        <w:keepNext w:val="0"/>
        <w:keepLines w:val="0"/>
        <w:framePr w:w="2789" w:h="1709" w:wrap="none" w:vAnchor="text" w:hAnchor="page" w:x="1669" w:y="726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firma:</w:t>
      </w:r>
    </w:p>
    <w:p>
      <w:pPr>
        <w:pStyle w:val="Style6"/>
        <w:keepNext w:val="0"/>
        <w:keepLines w:val="0"/>
        <w:framePr w:w="2789" w:h="1709" w:wrap="none" w:vAnchor="text" w:hAnchor="page" w:x="1669" w:y="726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p>
      <w:pPr>
        <w:pStyle w:val="Style6"/>
        <w:keepNext w:val="0"/>
        <w:keepLines w:val="0"/>
        <w:framePr w:w="2789" w:h="1709" w:wrap="none" w:vAnchor="text" w:hAnchor="page" w:x="1669" w:y="726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w:t>
      </w:r>
    </w:p>
    <w:p>
      <w:pPr>
        <w:pStyle w:val="Style6"/>
        <w:keepNext w:val="0"/>
        <w:keepLines w:val="0"/>
        <w:framePr w:w="2789" w:h="1709" w:wrap="none" w:vAnchor="text" w:hAnchor="page" w:x="1669" w:y="7263"/>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zhotovitele:</w:t>
      </w:r>
    </w:p>
    <w:p>
      <w:pPr>
        <w:pStyle w:val="Style6"/>
        <w:keepNext w:val="0"/>
        <w:keepLines w:val="0"/>
        <w:framePr w:w="5016" w:h="1022" w:wrap="none" w:vAnchor="text" w:hAnchor="page" w:x="5096" w:y="7643"/>
        <w:widowControl w:val="0"/>
        <w:shd w:val="clear" w:color="auto" w:fill="auto"/>
        <w:bidi w:val="0"/>
        <w:spacing w:before="0" w:after="0" w:line="276"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VODNÍ DÍLA – TBD a.s.</w:t>
      </w:r>
    </w:p>
    <w:p>
      <w:pPr>
        <w:pStyle w:val="Style6"/>
        <w:keepNext w:val="0"/>
        <w:keepLines w:val="0"/>
        <w:framePr w:w="5016" w:h="1022" w:wrap="none" w:vAnchor="text" w:hAnchor="page" w:x="5096" w:y="7643"/>
        <w:widowControl w:val="0"/>
        <w:shd w:val="clear" w:color="auto" w:fill="auto"/>
        <w:bidi w:val="0"/>
        <w:spacing w:before="0" w:after="0" w:line="276"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Hybernská 1617/40, Nové Město, 110 00 Praha 1 u Městského soudu v Praze, oddíl B, složka č. 2154</w:t>
      </w:r>
    </w:p>
    <w:p>
      <w:pPr>
        <w:pStyle w:val="Style6"/>
        <w:keepNext w:val="0"/>
        <w:keepLines w:val="0"/>
        <w:framePr w:w="3221" w:h="696" w:wrap="none" w:vAnchor="text" w:hAnchor="page" w:x="1669" w:y="11569"/>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smluvních:</w:t>
      </w:r>
    </w:p>
    <w:p>
      <w:pPr>
        <w:pStyle w:val="Style6"/>
        <w:keepNext w:val="0"/>
        <w:keepLines w:val="0"/>
        <w:framePr w:w="3221" w:h="696" w:wrap="none" w:vAnchor="text" w:hAnchor="page" w:x="1669" w:y="11569"/>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Zástupce ve věcech technických:</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3" w:line="1" w:lineRule="exact"/>
      </w:pPr>
    </w:p>
    <w:p>
      <w:pPr>
        <w:widowControl w:val="0"/>
        <w:spacing w:line="1" w:lineRule="exact"/>
        <w:sectPr>
          <w:footnotePr>
            <w:pos w:val="pageBottom"/>
            <w:numFmt w:val="decimal"/>
            <w:numRestart w:val="continuous"/>
          </w:footnotePr>
          <w:type w:val="continuous"/>
          <w:pgSz w:w="11909" w:h="16838"/>
          <w:pgMar w:top="1098" w:left="1668" w:right="1745" w:bottom="120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6"/>
        <w:keepNext w:val="0"/>
        <w:keepLines w:val="0"/>
        <w:widowControl w:val="0"/>
        <w:shd w:val="clear" w:color="auto" w:fill="auto"/>
        <w:bidi w:val="0"/>
        <w:spacing w:before="0" w:after="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Název a adresa banky: Číslo účtu:</w:t>
      </w:r>
    </w:p>
    <w:p>
      <w:pPr>
        <w:pStyle w:val="Style6"/>
        <w:keepNext w:val="0"/>
        <w:keepLines w:val="0"/>
        <w:widowControl w:val="0"/>
        <w:shd w:val="clear" w:color="auto" w:fill="auto"/>
        <w:bidi w:val="0"/>
        <w:spacing w:before="0" w:after="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Telefon (fax):</w:t>
      </w:r>
    </w:p>
    <w:p>
      <w:pPr>
        <w:pStyle w:val="Style6"/>
        <w:keepNext w:val="0"/>
        <w:keepLines w:val="0"/>
        <w:widowControl w:val="0"/>
        <w:shd w:val="clear" w:color="auto" w:fill="auto"/>
        <w:tabs>
          <w:tab w:pos="3490" w:val="left"/>
        </w:tabs>
        <w:bidi w:val="0"/>
        <w:spacing w:before="0" w:after="5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w:t>
        <w:tab/>
      </w:r>
      <w:r>
        <w:fldChar w:fldCharType="begin"/>
      </w:r>
      <w:r>
        <w:rPr/>
        <w:instrText> HYPERLINK "mailto:praha@vdtbd.cz"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praha@vdtbd.cz</w:t>
      </w:r>
      <w:r>
        <w:fldChar w:fldCharType="end"/>
      </w:r>
    </w:p>
    <w:p>
      <w:pPr>
        <w:pStyle w:val="Style10"/>
        <w:keepNext/>
        <w:keepLines/>
        <w:widowControl w:val="0"/>
        <w:numPr>
          <w:ilvl w:val="0"/>
          <w:numId w:val="1"/>
        </w:numPr>
        <w:shd w:val="clear" w:color="auto" w:fill="auto"/>
        <w:tabs>
          <w:tab w:pos="838" w:val="left"/>
        </w:tabs>
        <w:bidi w:val="0"/>
        <w:spacing w:before="0" w:line="240" w:lineRule="auto"/>
        <w:ind w:left="0" w:right="0" w:firstLine="0"/>
        <w:jc w:val="both"/>
      </w:pPr>
      <w:bookmarkStart w:id="3" w:name="bookmark3"/>
      <w:bookmarkStart w:id="4" w:name="bookmark4"/>
      <w:bookmarkStart w:id="5" w:name="bookmark5"/>
      <w:bookmarkStart w:id="6" w:name="bookmark6"/>
      <w:bookmarkEnd w:id="5"/>
      <w:r>
        <w:rPr>
          <w:rFonts w:ascii="Times New Roman" w:eastAsia="Times New Roman" w:hAnsi="Times New Roman" w:cs="Times New Roman"/>
          <w:color w:val="000000"/>
          <w:spacing w:val="0"/>
          <w:w w:val="100"/>
          <w:position w:val="0"/>
          <w:shd w:val="clear" w:color="auto" w:fill="auto"/>
          <w:lang w:val="cs-CZ" w:eastAsia="cs-CZ" w:bidi="cs-CZ"/>
        </w:rPr>
        <w:t>PŘEDMĚT DÍLA</w:t>
      </w:r>
      <w:bookmarkEnd w:id="3"/>
      <w:bookmarkEnd w:id="4"/>
      <w:bookmarkEnd w:id="6"/>
    </w:p>
    <w:p>
      <w:pPr>
        <w:pStyle w:val="Style6"/>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Předmětem plnění je technickobezpečnostní dohled (TBD) nad vodními díly I. a II. kategorie ve správě Povodí Ohře, státní podnik.</w:t>
      </w:r>
    </w:p>
    <w:p>
      <w:pPr>
        <w:pStyle w:val="Style6"/>
        <w:keepNext w:val="0"/>
        <w:keepLines w:val="0"/>
        <w:widowControl w:val="0"/>
        <w:numPr>
          <w:ilvl w:val="0"/>
          <w:numId w:val="3"/>
        </w:numPr>
        <w:shd w:val="clear" w:color="auto" w:fill="auto"/>
        <w:tabs>
          <w:tab w:pos="382" w:val="left"/>
        </w:tabs>
        <w:bidi w:val="0"/>
        <w:spacing w:before="0" w:after="0" w:line="259" w:lineRule="auto"/>
        <w:ind w:left="320" w:right="0" w:hanging="32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zadává a zhotovitel se zavazuje k výkonu a provádění Technickobezpečnostního dohledu nad vodními díly I. a II. kategorie ve správě Povodí Ohře, státní podnik v letech 2025 až 2028 včetně. Bezpečnostní dohled bude prováděn na vodních dílech uvedených v příloze č. 1 této smlouvy.</w:t>
      </w:r>
    </w:p>
    <w:p>
      <w:pPr>
        <w:pStyle w:val="Style6"/>
        <w:keepNext w:val="0"/>
        <w:keepLines w:val="0"/>
        <w:widowControl w:val="0"/>
        <w:numPr>
          <w:ilvl w:val="0"/>
          <w:numId w:val="3"/>
        </w:numPr>
        <w:shd w:val="clear" w:color="auto" w:fill="auto"/>
        <w:tabs>
          <w:tab w:pos="382" w:val="left"/>
        </w:tabs>
        <w:bidi w:val="0"/>
        <w:spacing w:before="0" w:after="0" w:line="259" w:lineRule="auto"/>
        <w:ind w:left="0" w:right="0" w:firstLine="0"/>
        <w:jc w:val="left"/>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Rozsah kontrol na jednotlivých dílech je definován v příloze č. 1 této smlouvy.</w:t>
      </w:r>
    </w:p>
    <w:p>
      <w:pPr>
        <w:pStyle w:val="Style6"/>
        <w:keepNext w:val="0"/>
        <w:keepLines w:val="0"/>
        <w:widowControl w:val="0"/>
        <w:numPr>
          <w:ilvl w:val="0"/>
          <w:numId w:val="3"/>
        </w:numPr>
        <w:shd w:val="clear" w:color="auto" w:fill="auto"/>
        <w:tabs>
          <w:tab w:pos="382" w:val="left"/>
        </w:tabs>
        <w:bidi w:val="0"/>
        <w:spacing w:before="0" w:after="0" w:line="259" w:lineRule="auto"/>
        <w:ind w:left="320" w:right="0" w:hanging="320"/>
        <w:jc w:val="both"/>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TBD je prováděn dle § 61 a § 62 zákona č. 254/2001 Sb., o vodách, a dle vyhlášky č. 471/2001 Sb. o TBD.</w:t>
      </w:r>
    </w:p>
    <w:p>
      <w:pPr>
        <w:pStyle w:val="Style6"/>
        <w:keepNext w:val="0"/>
        <w:keepLines w:val="0"/>
        <w:widowControl w:val="0"/>
        <w:numPr>
          <w:ilvl w:val="0"/>
          <w:numId w:val="3"/>
        </w:numPr>
        <w:shd w:val="clear" w:color="auto" w:fill="auto"/>
        <w:tabs>
          <w:tab w:pos="382" w:val="left"/>
        </w:tabs>
        <w:bidi w:val="0"/>
        <w:spacing w:before="0" w:after="0" w:line="259" w:lineRule="auto"/>
        <w:ind w:left="320" w:right="0" w:hanging="32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prohlašuje, že disponuje pověřením v souladu s „Metodickým pokynem k postupu a podmínkám udělování pověření Ministerstva zemědělství pro provádění technickobezpečnostního dohledu nad vodními díly č. j. 67207/2012-MZE-15100“.</w:t>
      </w:r>
    </w:p>
    <w:p>
      <w:pPr>
        <w:pStyle w:val="Style6"/>
        <w:keepNext w:val="0"/>
        <w:keepLines w:val="0"/>
        <w:widowControl w:val="0"/>
        <w:numPr>
          <w:ilvl w:val="0"/>
          <w:numId w:val="3"/>
        </w:numPr>
        <w:shd w:val="clear" w:color="auto" w:fill="auto"/>
        <w:tabs>
          <w:tab w:pos="382" w:val="left"/>
        </w:tabs>
        <w:bidi w:val="0"/>
        <w:spacing w:before="0" w:after="500" w:line="259" w:lineRule="auto"/>
        <w:ind w:left="320" w:right="0" w:hanging="32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Jeden pracovník může vykonávat funkci odpovědné osoby maximálně na 5 vodních dílech.</w:t>
      </w:r>
    </w:p>
    <w:p>
      <w:pPr>
        <w:pStyle w:val="Style10"/>
        <w:keepNext/>
        <w:keepLines/>
        <w:widowControl w:val="0"/>
        <w:numPr>
          <w:ilvl w:val="0"/>
          <w:numId w:val="1"/>
        </w:numPr>
        <w:shd w:val="clear" w:color="auto" w:fill="auto"/>
        <w:tabs>
          <w:tab w:pos="838" w:val="left"/>
        </w:tabs>
        <w:bidi w:val="0"/>
        <w:spacing w:before="0" w:line="240" w:lineRule="auto"/>
        <w:ind w:left="0" w:right="0" w:firstLine="0"/>
        <w:jc w:val="left"/>
      </w:pPr>
      <w:bookmarkStart w:id="12" w:name="bookmark12"/>
      <w:bookmarkStart w:id="13" w:name="bookmark13"/>
      <w:bookmarkStart w:id="14" w:name="bookmark14"/>
      <w:bookmarkStart w:id="15" w:name="bookmark15"/>
      <w:bookmarkEnd w:id="14"/>
      <w:r>
        <w:rPr>
          <w:rFonts w:ascii="Times New Roman" w:eastAsia="Times New Roman" w:hAnsi="Times New Roman" w:cs="Times New Roman"/>
          <w:color w:val="000000"/>
          <w:spacing w:val="0"/>
          <w:w w:val="100"/>
          <w:position w:val="0"/>
          <w:shd w:val="clear" w:color="auto" w:fill="auto"/>
          <w:lang w:val="cs-CZ" w:eastAsia="cs-CZ" w:bidi="cs-CZ"/>
        </w:rPr>
        <w:t>TERMÍNY PLNĚNÍ</w:t>
      </w:r>
      <w:bookmarkEnd w:id="12"/>
      <w:bookmarkEnd w:id="13"/>
      <w:bookmarkEnd w:id="15"/>
    </w:p>
    <w:p>
      <w:pPr>
        <w:pStyle w:val="Style6"/>
        <w:keepNext w:val="0"/>
        <w:keepLines w:val="0"/>
        <w:widowControl w:val="0"/>
        <w:numPr>
          <w:ilvl w:val="0"/>
          <w:numId w:val="5"/>
        </w:numPr>
        <w:shd w:val="clear" w:color="auto" w:fill="auto"/>
        <w:tabs>
          <w:tab w:pos="382" w:val="left"/>
        </w:tabs>
        <w:bidi w:val="0"/>
        <w:spacing w:before="0" w:after="0" w:line="259" w:lineRule="auto"/>
        <w:ind w:left="0" w:right="0" w:firstLine="0"/>
        <w:jc w:val="left"/>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Realizace díla se uskuteční od 01. 01. 2025 do 31. 12. 2028.</w:t>
      </w:r>
    </w:p>
    <w:p>
      <w:pPr>
        <w:pStyle w:val="Style6"/>
        <w:keepNext w:val="0"/>
        <w:keepLines w:val="0"/>
        <w:widowControl w:val="0"/>
        <w:numPr>
          <w:ilvl w:val="0"/>
          <w:numId w:val="5"/>
        </w:numPr>
        <w:shd w:val="clear" w:color="auto" w:fill="auto"/>
        <w:tabs>
          <w:tab w:pos="382" w:val="left"/>
        </w:tabs>
        <w:bidi w:val="0"/>
        <w:spacing w:before="0" w:after="120" w:line="259" w:lineRule="auto"/>
        <w:ind w:left="320" w:right="0" w:hanging="32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si sjednávají postupový termín dílčího plnění ve výši 50 % ceny díla pro příslušný rok do 30. 9. každého příslušného roku.</w:t>
      </w:r>
    </w:p>
    <w:p>
      <w:pPr>
        <w:pStyle w:val="Style10"/>
        <w:keepNext/>
        <w:keepLines/>
        <w:widowControl w:val="0"/>
        <w:numPr>
          <w:ilvl w:val="0"/>
          <w:numId w:val="1"/>
        </w:numPr>
        <w:shd w:val="clear" w:color="auto" w:fill="auto"/>
        <w:tabs>
          <w:tab w:pos="838" w:val="left"/>
        </w:tabs>
        <w:bidi w:val="0"/>
        <w:spacing w:before="0" w:line="240" w:lineRule="auto"/>
        <w:ind w:left="0" w:right="0" w:firstLine="0"/>
        <w:jc w:val="left"/>
      </w:pPr>
      <w:bookmarkStart w:id="18" w:name="bookmark18"/>
      <w:bookmarkStart w:id="19" w:name="bookmark19"/>
      <w:bookmarkStart w:id="20" w:name="bookmark20"/>
      <w:bookmarkStart w:id="21" w:name="bookmark21"/>
      <w:bookmarkEnd w:id="20"/>
      <w:r>
        <w:rPr>
          <w:rFonts w:ascii="Times New Roman" w:eastAsia="Times New Roman" w:hAnsi="Times New Roman" w:cs="Times New Roman"/>
          <w:color w:val="000000"/>
          <w:spacing w:val="0"/>
          <w:w w:val="100"/>
          <w:position w:val="0"/>
          <w:shd w:val="clear" w:color="auto" w:fill="auto"/>
          <w:lang w:val="cs-CZ" w:eastAsia="cs-CZ" w:bidi="cs-CZ"/>
        </w:rPr>
        <w:t>CENA DÍLA</w:t>
      </w:r>
      <w:bookmarkEnd w:id="18"/>
      <w:bookmarkEnd w:id="19"/>
      <w:bookmarkEnd w:id="21"/>
    </w:p>
    <w:p>
      <w:pPr>
        <w:pStyle w:val="Style6"/>
        <w:keepNext w:val="0"/>
        <w:keepLines w:val="0"/>
        <w:widowControl w:val="0"/>
        <w:numPr>
          <w:ilvl w:val="0"/>
          <w:numId w:val="7"/>
        </w:numPr>
        <w:shd w:val="clear" w:color="auto" w:fill="auto"/>
        <w:tabs>
          <w:tab w:pos="382" w:val="left"/>
        </w:tabs>
        <w:bidi w:val="0"/>
        <w:spacing w:before="0" w:after="40" w:line="259" w:lineRule="auto"/>
        <w:ind w:left="320" w:right="0" w:hanging="320"/>
        <w:jc w:val="both"/>
      </w:pPr>
      <w:bookmarkStart w:id="22" w:name="bookmark22"/>
      <w:bookmarkEnd w:id="22"/>
      <w:r>
        <w:rPr>
          <w:rFonts w:ascii="Times New Roman" w:eastAsia="Times New Roman" w:hAnsi="Times New Roman" w:cs="Times New Roman"/>
          <w:color w:val="000000"/>
          <w:spacing w:val="0"/>
          <w:w w:val="100"/>
          <w:position w:val="0"/>
          <w:sz w:val="24"/>
          <w:szCs w:val="24"/>
          <w:shd w:val="clear" w:color="auto" w:fill="auto"/>
          <w:lang w:val="cs-CZ" w:eastAsia="cs-CZ" w:bidi="cs-CZ"/>
        </w:rPr>
        <w:t>Smluvně dohodnuté ceny prací pro roky 2025 až 2028 nad vodními díly I. a II. kategorie ve správě Povodí Ohře, státní podnik (bez DPH) a jejich jednotlivé položky jsou uvedeny v přílohách č. I/2025, I/2026, I/2027, I/2028, II/2025, II/2026, II/2027 a II/2028, (dále jen Soupis prací), který tvoří přílohu č.1 této smlouvy.</w:t>
      </w:r>
    </w:p>
    <w:p>
      <w:pPr>
        <w:pStyle w:val="Style6"/>
        <w:keepNext w:val="0"/>
        <w:keepLines w:val="0"/>
        <w:widowControl w:val="0"/>
        <w:numPr>
          <w:ilvl w:val="0"/>
          <w:numId w:val="7"/>
        </w:numPr>
        <w:shd w:val="clear" w:color="auto" w:fill="auto"/>
        <w:tabs>
          <w:tab w:pos="382" w:val="left"/>
        </w:tabs>
        <w:bidi w:val="0"/>
        <w:spacing w:before="0" w:after="0" w:line="240" w:lineRule="auto"/>
        <w:ind w:left="0" w:right="0" w:firstLine="0"/>
        <w:jc w:val="left"/>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Vyhrazená změna závazku:</w:t>
      </w:r>
    </w:p>
    <w:p>
      <w:pPr>
        <w:pStyle w:val="Style6"/>
        <w:keepNext w:val="0"/>
        <w:keepLines w:val="0"/>
        <w:widowControl w:val="0"/>
        <w:shd w:val="clear" w:color="auto" w:fill="auto"/>
        <w:bidi w:val="0"/>
        <w:spacing w:before="0" w:after="120" w:line="240" w:lineRule="auto"/>
        <w:ind w:left="320" w:right="0" w:firstLine="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souladu s § 100 odst. 1 zákona objednatel uplatňuje právo na vyhrazenou změnu závazku, která nemění celkovou povahu veřejné zakázky a kterou objednatel předvídá. Týká se množství níže uvedených činností, než je předpokládáno v Soupisu prací.</w:t>
      </w:r>
    </w:p>
    <w:p>
      <w:pPr>
        <w:pStyle w:val="Style6"/>
        <w:keepNext w:val="0"/>
        <w:keepLines w:val="0"/>
        <w:widowControl w:val="0"/>
        <w:shd w:val="clear" w:color="auto" w:fill="auto"/>
        <w:bidi w:val="0"/>
        <w:spacing w:before="0" w:after="120" w:line="259" w:lineRule="auto"/>
        <w:ind w:left="0" w:right="0" w:firstLine="3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Tyto činnosti jsou pro každou kategorii vodních děl a každý rok zvlášť.</w:t>
      </w:r>
    </w:p>
    <w:p>
      <w:pPr>
        <w:pStyle w:val="Style6"/>
        <w:keepNext w:val="0"/>
        <w:keepLines w:val="0"/>
        <w:widowControl w:val="0"/>
        <w:numPr>
          <w:ilvl w:val="0"/>
          <w:numId w:val="9"/>
        </w:numPr>
        <w:shd w:val="clear" w:color="auto" w:fill="auto"/>
        <w:tabs>
          <w:tab w:pos="838" w:val="left"/>
        </w:tabs>
        <w:bidi w:val="0"/>
        <w:spacing w:before="0" w:after="0" w:line="259" w:lineRule="auto"/>
        <w:ind w:left="0" w:right="0" w:firstLine="320"/>
        <w:jc w:val="left"/>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Hodnocení kontrol prostorů vtoků do spodních výpustí přehrad.</w:t>
      </w:r>
    </w:p>
    <w:p>
      <w:pPr>
        <w:pStyle w:val="Style6"/>
        <w:keepNext w:val="0"/>
        <w:keepLines w:val="0"/>
        <w:widowControl w:val="0"/>
        <w:shd w:val="clear" w:color="auto" w:fill="auto"/>
        <w:bidi w:val="0"/>
        <w:spacing w:before="0" w:after="120" w:line="259"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4x zhodnocení výsledků prohlídky prostorů nátoků potápěči z hlediska TBD.</w:t>
      </w:r>
    </w:p>
    <w:p>
      <w:pPr>
        <w:pStyle w:val="Style6"/>
        <w:keepNext w:val="0"/>
        <w:keepLines w:val="0"/>
        <w:widowControl w:val="0"/>
        <w:numPr>
          <w:ilvl w:val="0"/>
          <w:numId w:val="9"/>
        </w:numPr>
        <w:shd w:val="clear" w:color="auto" w:fill="auto"/>
        <w:tabs>
          <w:tab w:pos="838" w:val="left"/>
        </w:tabs>
        <w:bidi w:val="0"/>
        <w:spacing w:before="0" w:after="120" w:line="259" w:lineRule="auto"/>
        <w:ind w:left="0" w:right="0" w:firstLine="320"/>
        <w:jc w:val="left"/>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Ostatní činnosti dle požadavku objednatele</w:t>
      </w:r>
    </w:p>
    <w:p>
      <w:pPr>
        <w:pStyle w:val="Style6"/>
        <w:keepNext w:val="0"/>
        <w:keepLines w:val="0"/>
        <w:widowControl w:val="0"/>
        <w:shd w:val="clear" w:color="auto" w:fill="auto"/>
        <w:bidi w:val="0"/>
        <w:spacing w:before="0" w:after="120" w:line="240" w:lineRule="auto"/>
        <w:ind w:left="74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Rozsah ostatních činností bude upřesňován objednatelem podle aktuálních provozních potřeb, maximálně však v rozsahu 120 hodin práce specialisty TBD.</w:t>
      </w:r>
    </w:p>
    <w:p>
      <w:pPr>
        <w:pStyle w:val="Style6"/>
        <w:keepNext w:val="0"/>
        <w:keepLines w:val="0"/>
        <w:widowControl w:val="0"/>
        <w:shd w:val="clear" w:color="auto" w:fill="auto"/>
        <w:bidi w:val="0"/>
        <w:spacing w:before="0" w:after="520" w:line="240" w:lineRule="auto"/>
        <w:ind w:left="3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Popis jednotlivých položek nelze změnit. Jednotkové ceny z nabídky zhotovitele nebude možné změnit. Změna bude možná pouze v množství.</w:t>
      </w:r>
    </w:p>
    <w:p>
      <w:pPr>
        <w:pStyle w:val="Style10"/>
        <w:keepNext/>
        <w:keepLines/>
        <w:widowControl w:val="0"/>
        <w:numPr>
          <w:ilvl w:val="0"/>
          <w:numId w:val="1"/>
        </w:numPr>
        <w:shd w:val="clear" w:color="auto" w:fill="auto"/>
        <w:tabs>
          <w:tab w:pos="816" w:val="left"/>
        </w:tabs>
        <w:bidi w:val="0"/>
        <w:spacing w:before="0" w:line="240" w:lineRule="auto"/>
        <w:ind w:left="0" w:right="0" w:firstLine="0"/>
        <w:jc w:val="both"/>
      </w:pPr>
      <w:bookmarkStart w:id="26" w:name="bookmark26"/>
      <w:bookmarkStart w:id="27" w:name="bookmark27"/>
      <w:bookmarkStart w:id="28" w:name="bookmark28"/>
      <w:bookmarkStart w:id="29" w:name="bookmark29"/>
      <w:bookmarkEnd w:id="28"/>
      <w:r>
        <w:rPr>
          <w:rFonts w:ascii="Times New Roman" w:eastAsia="Times New Roman" w:hAnsi="Times New Roman" w:cs="Times New Roman"/>
          <w:color w:val="000000"/>
          <w:spacing w:val="0"/>
          <w:w w:val="100"/>
          <w:position w:val="0"/>
          <w:shd w:val="clear" w:color="auto" w:fill="auto"/>
          <w:lang w:val="cs-CZ" w:eastAsia="cs-CZ" w:bidi="cs-CZ"/>
        </w:rPr>
        <w:t>ÚDAJE DOHODNUTÉ K PROVEDENÍ DÍLA</w:t>
      </w:r>
      <w:bookmarkEnd w:id="26"/>
      <w:bookmarkEnd w:id="27"/>
      <w:bookmarkEnd w:id="29"/>
    </w:p>
    <w:p>
      <w:pPr>
        <w:pStyle w:val="Style6"/>
        <w:keepNext w:val="0"/>
        <w:keepLines w:val="0"/>
        <w:widowControl w:val="0"/>
        <w:numPr>
          <w:ilvl w:val="0"/>
          <w:numId w:val="11"/>
        </w:numPr>
        <w:shd w:val="clear" w:color="auto" w:fill="auto"/>
        <w:tabs>
          <w:tab w:pos="382" w:val="left"/>
        </w:tabs>
        <w:bidi w:val="0"/>
        <w:spacing w:before="0" w:after="240" w:line="240" w:lineRule="auto"/>
        <w:ind w:left="320" w:right="0" w:hanging="320"/>
        <w:jc w:val="both"/>
      </w:pPr>
      <w:bookmarkStart w:id="30" w:name="bookmark30"/>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Služby jsou prováděny na vodních dílech uvedených v příloze č.1 této smlouvy a výstupy jsou předávány v sídle objednatele.</w:t>
      </w:r>
    </w:p>
    <w:p>
      <w:pPr>
        <w:pStyle w:val="Style10"/>
        <w:keepNext/>
        <w:keepLines/>
        <w:widowControl w:val="0"/>
        <w:numPr>
          <w:ilvl w:val="0"/>
          <w:numId w:val="1"/>
        </w:numPr>
        <w:shd w:val="clear" w:color="auto" w:fill="auto"/>
        <w:tabs>
          <w:tab w:pos="816" w:val="left"/>
        </w:tabs>
        <w:bidi w:val="0"/>
        <w:spacing w:before="0" w:line="240" w:lineRule="auto"/>
        <w:ind w:left="0" w:right="0" w:firstLine="0"/>
        <w:jc w:val="both"/>
      </w:pPr>
      <w:bookmarkStart w:id="31" w:name="bookmark31"/>
      <w:bookmarkStart w:id="32" w:name="bookmark32"/>
      <w:bookmarkStart w:id="33" w:name="bookmark33"/>
      <w:bookmarkStart w:id="34" w:name="bookmark34"/>
      <w:bookmarkEnd w:id="33"/>
      <w:r>
        <w:rPr>
          <w:rFonts w:ascii="Times New Roman" w:eastAsia="Times New Roman" w:hAnsi="Times New Roman" w:cs="Times New Roman"/>
          <w:color w:val="000000"/>
          <w:spacing w:val="0"/>
          <w:w w:val="100"/>
          <w:position w:val="0"/>
          <w:shd w:val="clear" w:color="auto" w:fill="auto"/>
          <w:lang w:val="cs-CZ" w:eastAsia="cs-CZ" w:bidi="cs-CZ"/>
        </w:rPr>
        <w:t>PLATEBNÍ PODMÍNKY</w:t>
      </w:r>
      <w:bookmarkEnd w:id="31"/>
      <w:bookmarkEnd w:id="32"/>
      <w:bookmarkEnd w:id="34"/>
    </w:p>
    <w:p>
      <w:pPr>
        <w:pStyle w:val="Style6"/>
        <w:keepNext w:val="0"/>
        <w:keepLines w:val="0"/>
        <w:widowControl w:val="0"/>
        <w:numPr>
          <w:ilvl w:val="0"/>
          <w:numId w:val="13"/>
        </w:numPr>
        <w:shd w:val="clear" w:color="auto" w:fill="auto"/>
        <w:tabs>
          <w:tab w:pos="382" w:val="left"/>
        </w:tabs>
        <w:bidi w:val="0"/>
        <w:spacing w:before="0" w:after="0" w:line="262" w:lineRule="auto"/>
        <w:ind w:left="0" w:right="0" w:firstLine="0"/>
        <w:jc w:val="both"/>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nebude poskytovat zhotoviteli zálohy.</w:t>
      </w:r>
    </w:p>
    <w:p>
      <w:pPr>
        <w:pStyle w:val="Style6"/>
        <w:keepNext w:val="0"/>
        <w:keepLines w:val="0"/>
        <w:widowControl w:val="0"/>
        <w:numPr>
          <w:ilvl w:val="0"/>
          <w:numId w:val="13"/>
        </w:numPr>
        <w:shd w:val="clear" w:color="auto" w:fill="auto"/>
        <w:tabs>
          <w:tab w:pos="382" w:val="left"/>
        </w:tabs>
        <w:bidi w:val="0"/>
        <w:spacing w:before="0" w:after="0" w:line="262" w:lineRule="auto"/>
        <w:ind w:left="320" w:right="0" w:hanging="320"/>
        <w:jc w:val="both"/>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Fakturace vykonaných prací bude prováděna měsíčně podle skutečně provedeného rozsahu prací, které jsou v celkovém rozsahu specifikovány v Soupisu prací. Fakturovaná částka bude rozklíčena na jednotlivé závody objednatele a předání seznamu jejich souborů bude přiloženo k předmětné faktuře. Datem uskutečnění zdanitelného plnění je poslední kalendářní den v měsíci.</w:t>
      </w:r>
    </w:p>
    <w:p>
      <w:pPr>
        <w:pStyle w:val="Style6"/>
        <w:keepNext w:val="0"/>
        <w:keepLines w:val="0"/>
        <w:widowControl w:val="0"/>
        <w:numPr>
          <w:ilvl w:val="0"/>
          <w:numId w:val="13"/>
        </w:numPr>
        <w:shd w:val="clear" w:color="auto" w:fill="auto"/>
        <w:tabs>
          <w:tab w:pos="382" w:val="left"/>
        </w:tabs>
        <w:bidi w:val="0"/>
        <w:spacing w:before="0" w:after="0" w:line="262" w:lineRule="auto"/>
        <w:ind w:left="320" w:right="0" w:hanging="320"/>
        <w:jc w:val="both"/>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je povinen vystavit řádný daňový doklad do patnácti dnů ode dne uskutečnění zdanitelného plnění.</w:t>
      </w:r>
    </w:p>
    <w:p>
      <w:pPr>
        <w:pStyle w:val="Style6"/>
        <w:keepNext w:val="0"/>
        <w:keepLines w:val="0"/>
        <w:widowControl w:val="0"/>
        <w:numPr>
          <w:ilvl w:val="0"/>
          <w:numId w:val="13"/>
        </w:numPr>
        <w:shd w:val="clear" w:color="auto" w:fill="auto"/>
        <w:tabs>
          <w:tab w:pos="382" w:val="left"/>
        </w:tabs>
        <w:bidi w:val="0"/>
        <w:spacing w:before="0" w:after="0" w:line="262" w:lineRule="auto"/>
        <w:ind w:left="0" w:right="0" w:firstLine="0"/>
        <w:jc w:val="both"/>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faktur je 30 dní ode dne doručení.</w:t>
      </w:r>
    </w:p>
    <w:p>
      <w:pPr>
        <w:pStyle w:val="Style6"/>
        <w:keepNext w:val="0"/>
        <w:keepLines w:val="0"/>
        <w:widowControl w:val="0"/>
        <w:numPr>
          <w:ilvl w:val="0"/>
          <w:numId w:val="13"/>
        </w:numPr>
        <w:shd w:val="clear" w:color="auto" w:fill="auto"/>
        <w:tabs>
          <w:tab w:pos="382" w:val="left"/>
        </w:tabs>
        <w:bidi w:val="0"/>
        <w:spacing w:before="0" w:after="0" w:line="262" w:lineRule="auto"/>
        <w:ind w:left="0" w:right="0" w:firstLine="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Daňové doklady musí obsahovat všechny náležitosti podle platného zákona o DPH.</w:t>
      </w:r>
    </w:p>
    <w:p>
      <w:pPr>
        <w:pStyle w:val="Style6"/>
        <w:keepNext w:val="0"/>
        <w:keepLines w:val="0"/>
        <w:widowControl w:val="0"/>
        <w:numPr>
          <w:ilvl w:val="0"/>
          <w:numId w:val="13"/>
        </w:numPr>
        <w:shd w:val="clear" w:color="auto" w:fill="auto"/>
        <w:tabs>
          <w:tab w:pos="382" w:val="left"/>
        </w:tabs>
        <w:bidi w:val="0"/>
        <w:spacing w:before="0" w:after="0" w:line="262" w:lineRule="auto"/>
        <w:ind w:left="320" w:right="0" w:hanging="32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nebo chybných údajů na daňovém dokladu vrátí objednatel zhotoviteli daňový doklad k opravě. Lhůta pro placení se pak počítá od doby vrácení opraveného daňového dokladu objednateli.</w:t>
      </w:r>
    </w:p>
    <w:p>
      <w:pPr>
        <w:pStyle w:val="Style6"/>
        <w:keepNext w:val="0"/>
        <w:keepLines w:val="0"/>
        <w:widowControl w:val="0"/>
        <w:numPr>
          <w:ilvl w:val="0"/>
          <w:numId w:val="13"/>
        </w:numPr>
        <w:shd w:val="clear" w:color="auto" w:fill="auto"/>
        <w:tabs>
          <w:tab w:pos="382" w:val="left"/>
        </w:tabs>
        <w:bidi w:val="0"/>
        <w:spacing w:before="0" w:after="0" w:line="262" w:lineRule="auto"/>
        <w:ind w:left="320" w:right="0" w:hanging="32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Platby budou probíhat bezhotovostní formou na bankovní účet zhotovitele uvedený v této smlouvě.</w:t>
      </w:r>
    </w:p>
    <w:p>
      <w:pPr>
        <w:pStyle w:val="Style6"/>
        <w:keepNext w:val="0"/>
        <w:keepLines w:val="0"/>
        <w:widowControl w:val="0"/>
        <w:numPr>
          <w:ilvl w:val="0"/>
          <w:numId w:val="13"/>
        </w:numPr>
        <w:shd w:val="clear" w:color="auto" w:fill="auto"/>
        <w:tabs>
          <w:tab w:pos="382" w:val="left"/>
        </w:tabs>
        <w:bidi w:val="0"/>
        <w:spacing w:before="0" w:after="120" w:line="262" w:lineRule="auto"/>
        <w:ind w:left="320" w:right="0" w:hanging="32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Zjištěné rozdíly plnění oproti specifikovaným pracím a finančním nákladům na jednotlivé akce této Smlouvy budou řešeny příslušným písemným dodatkem.</w:t>
      </w:r>
    </w:p>
    <w:p>
      <w:pPr>
        <w:pStyle w:val="Style10"/>
        <w:keepNext/>
        <w:keepLines/>
        <w:widowControl w:val="0"/>
        <w:numPr>
          <w:ilvl w:val="0"/>
          <w:numId w:val="1"/>
        </w:numPr>
        <w:shd w:val="clear" w:color="auto" w:fill="auto"/>
        <w:tabs>
          <w:tab w:pos="816" w:val="left"/>
        </w:tabs>
        <w:bidi w:val="0"/>
        <w:spacing w:before="0" w:line="240" w:lineRule="auto"/>
        <w:ind w:left="0" w:right="0" w:firstLine="0"/>
        <w:jc w:val="both"/>
      </w:pPr>
      <w:bookmarkStart w:id="43" w:name="bookmark43"/>
      <w:bookmarkStart w:id="44" w:name="bookmark44"/>
      <w:bookmarkStart w:id="45" w:name="bookmark45"/>
      <w:bookmarkStart w:id="46" w:name="bookmark46"/>
      <w:bookmarkEnd w:id="45"/>
      <w:r>
        <w:rPr>
          <w:rFonts w:ascii="Times New Roman" w:eastAsia="Times New Roman" w:hAnsi="Times New Roman" w:cs="Times New Roman"/>
          <w:color w:val="000000"/>
          <w:spacing w:val="0"/>
          <w:w w:val="100"/>
          <w:position w:val="0"/>
          <w:shd w:val="clear" w:color="auto" w:fill="auto"/>
          <w:lang w:val="cs-CZ" w:eastAsia="cs-CZ" w:bidi="cs-CZ"/>
        </w:rPr>
        <w:t>SANKČNÍ UJEDNÁNÍ</w:t>
      </w:r>
      <w:bookmarkEnd w:id="43"/>
      <w:bookmarkEnd w:id="44"/>
      <w:bookmarkEnd w:id="46"/>
    </w:p>
    <w:p>
      <w:pPr>
        <w:pStyle w:val="Style6"/>
        <w:keepNext w:val="0"/>
        <w:keepLines w:val="0"/>
        <w:widowControl w:val="0"/>
        <w:numPr>
          <w:ilvl w:val="0"/>
          <w:numId w:val="15"/>
        </w:numPr>
        <w:shd w:val="clear" w:color="auto" w:fill="auto"/>
        <w:tabs>
          <w:tab w:pos="382" w:val="left"/>
        </w:tabs>
        <w:bidi w:val="0"/>
        <w:spacing w:before="0" w:after="0" w:line="262" w:lineRule="auto"/>
        <w:ind w:left="320" w:right="0" w:hanging="32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termínu předání díla zaplatí zhotovitel objednateli smluvní pokutu ve výši 0,3 % z ceny díla za každý i započatý kalendářní den prodlení.</w:t>
      </w:r>
    </w:p>
    <w:p>
      <w:pPr>
        <w:pStyle w:val="Style6"/>
        <w:keepNext w:val="0"/>
        <w:keepLines w:val="0"/>
        <w:widowControl w:val="0"/>
        <w:numPr>
          <w:ilvl w:val="0"/>
          <w:numId w:val="15"/>
        </w:numPr>
        <w:shd w:val="clear" w:color="auto" w:fill="auto"/>
        <w:tabs>
          <w:tab w:pos="382" w:val="left"/>
        </w:tabs>
        <w:bidi w:val="0"/>
        <w:spacing w:before="0" w:after="0" w:line="262" w:lineRule="auto"/>
        <w:ind w:left="320" w:right="0" w:hanging="32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finančního plnění k datu postupového termínu ve výši 50 % ceny díla zaplatí zhotovitel objednateli smluvní pokutu ve výši 0,3 % z 50 % ceny díla za každý i započatý kalendářní den prodlení.</w:t>
      </w:r>
    </w:p>
    <w:p>
      <w:pPr>
        <w:pStyle w:val="Style6"/>
        <w:keepNext w:val="0"/>
        <w:keepLines w:val="0"/>
        <w:widowControl w:val="0"/>
        <w:numPr>
          <w:ilvl w:val="0"/>
          <w:numId w:val="15"/>
        </w:numPr>
        <w:shd w:val="clear" w:color="auto" w:fill="auto"/>
        <w:tabs>
          <w:tab w:pos="382" w:val="left"/>
        </w:tabs>
        <w:bidi w:val="0"/>
        <w:spacing w:before="0" w:after="0" w:line="262" w:lineRule="auto"/>
        <w:ind w:left="320" w:right="0" w:hanging="32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Při nesplnění termínu splatnosti faktury zaplatí objednatel zhotoviteli úrok z prodlení ve výši 0,3 % z dlužné částky za každý i započatý kalendářní den prodlení.</w:t>
      </w:r>
    </w:p>
    <w:p>
      <w:pPr>
        <w:pStyle w:val="Style6"/>
        <w:keepNext w:val="0"/>
        <w:keepLines w:val="0"/>
        <w:widowControl w:val="0"/>
        <w:numPr>
          <w:ilvl w:val="0"/>
          <w:numId w:val="15"/>
        </w:numPr>
        <w:shd w:val="clear" w:color="auto" w:fill="auto"/>
        <w:tabs>
          <w:tab w:pos="382" w:val="left"/>
        </w:tabs>
        <w:bidi w:val="0"/>
        <w:spacing w:before="0" w:after="120" w:line="262" w:lineRule="auto"/>
        <w:ind w:left="320" w:right="0" w:hanging="320"/>
        <w:jc w:val="both"/>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Sankce se nevztahují na případy, kdy prodlení nebo jiné porušení povinností bylo způsobeno okolnostmi vylučujícími odpovědnost ve smyslu § 2913 odst. 2 zákona č. 89/2012 Sb., pokud nesplnění povinnosti bylo způsobeno jednáním druhé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w:t>
      </w:r>
      <w:r>
        <w:rPr>
          <w:rFonts w:ascii="Times New Roman" w:eastAsia="Times New Roman" w:hAnsi="Times New Roman" w:cs="Times New Roman"/>
          <w:color w:val="000000"/>
          <w:spacing w:val="0"/>
          <w:w w:val="100"/>
          <w:position w:val="0"/>
          <w:sz w:val="24"/>
          <w:szCs w:val="24"/>
          <w:shd w:val="clear" w:color="auto" w:fill="auto"/>
          <w:lang w:val="cs-CZ" w:eastAsia="cs-CZ" w:bidi="cs-CZ"/>
        </w:rPr>
        <w:t>závazných právních předpisů, směrnic či obdobných podmínek, živelné pohromy, teroristický čin apod.).</w:t>
      </w:r>
    </w:p>
    <w:p>
      <w:pPr>
        <w:pStyle w:val="Style10"/>
        <w:keepNext/>
        <w:keepLines/>
        <w:widowControl w:val="0"/>
        <w:numPr>
          <w:ilvl w:val="0"/>
          <w:numId w:val="1"/>
        </w:numPr>
        <w:shd w:val="clear" w:color="auto" w:fill="auto"/>
        <w:tabs>
          <w:tab w:pos="854" w:val="left"/>
        </w:tabs>
        <w:bidi w:val="0"/>
        <w:spacing w:before="0" w:line="240" w:lineRule="auto"/>
        <w:ind w:left="0" w:right="0" w:firstLine="0"/>
        <w:jc w:val="both"/>
      </w:pPr>
      <w:bookmarkStart w:id="51" w:name="bookmark51"/>
      <w:bookmarkStart w:id="52" w:name="bookmark52"/>
      <w:bookmarkStart w:id="53" w:name="bookmark53"/>
      <w:bookmarkStart w:id="54" w:name="bookmark54"/>
      <w:bookmarkEnd w:id="53"/>
      <w:r>
        <w:rPr>
          <w:rFonts w:ascii="Times New Roman" w:eastAsia="Times New Roman" w:hAnsi="Times New Roman" w:cs="Times New Roman"/>
          <w:color w:val="000000"/>
          <w:spacing w:val="0"/>
          <w:w w:val="100"/>
          <w:position w:val="0"/>
          <w:shd w:val="clear" w:color="auto" w:fill="auto"/>
          <w:lang w:val="cs-CZ" w:eastAsia="cs-CZ" w:bidi="cs-CZ"/>
        </w:rPr>
        <w:t>DALŠÍ UJEDNÁNÍ</w:t>
      </w:r>
      <w:bookmarkEnd w:id="51"/>
      <w:bookmarkEnd w:id="52"/>
      <w:bookmarkEnd w:id="54"/>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zajistí pracovníkům zhotovitele přístup na objekty a předá rizika vztahujících se k bezpečnosti a ochraně zdraví osob na vodním díle vyplývajících z prací a technologických postupů prováděných zhotovitelem i všemi poddodavateli, v souladu s § 101 odst. 3 zákona č. 262/2006 Sb., zákoník práce, ve znění pozdějších předpisů.</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Pokud není ve smlouvě uvedeno jinak, řídí se všechny vztahy mezi smluvními stranami ustanoveními občanského zákoníku. Veškeré změny a dodatky této smlouvy mohou být prováděny pouze po dohodě obou smluvních stran, a to formou číslovaného písemného dodatku řádně podepsaného oprávněnými zástupci obou smluvních stran. Případné změny kontaktních osob či telefonických nebo faxových spojení se považují za změněné dnem doručení doporučeného dopisu oznamujícího tuto změnu druhé smluvní straně.</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60" w:name="bookmark60"/>
      <w:bookmarkEnd w:id="6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62" w:name="bookmark62"/>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17"/>
        </w:numPr>
        <w:shd w:val="clear" w:color="auto" w:fill="auto"/>
        <w:tabs>
          <w:tab w:pos="322" w:val="left"/>
        </w:tabs>
        <w:bidi w:val="0"/>
        <w:spacing w:before="0" w:after="0" w:line="240" w:lineRule="auto"/>
        <w:ind w:left="320" w:right="0" w:hanging="320"/>
        <w:jc w:val="both"/>
      </w:pPr>
      <w:bookmarkStart w:id="63" w:name="bookmark63"/>
      <w:bookmarkEnd w:id="6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http://www.poh.cz/protikorupcni-a-compliance- 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shd w:val="clear" w:color="auto" w:fill="auto"/>
        <w:bidi w:val="0"/>
        <w:spacing w:before="0" w:after="120" w:line="240" w:lineRule="auto"/>
        <w:ind w:left="320" w:right="0" w:hanging="320"/>
        <w:jc w:val="both"/>
      </w:pPr>
      <w:bookmarkStart w:id="64" w:name="bookmark64"/>
      <w:r>
        <w:rPr>
          <w:rFonts w:ascii="Times New Roman" w:eastAsia="Times New Roman" w:hAnsi="Times New Roman" w:cs="Times New Roman"/>
          <w:color w:val="000000"/>
          <w:spacing w:val="0"/>
          <w:w w:val="100"/>
          <w:position w:val="0"/>
          <w:sz w:val="24"/>
          <w:szCs w:val="24"/>
          <w:shd w:val="clear" w:color="auto" w:fill="auto"/>
          <w:lang w:val="cs-CZ" w:eastAsia="cs-CZ" w:bidi="cs-CZ"/>
        </w:rPr>
        <w:t>1</w:t>
      </w:r>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0.Smluvní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br w:type="page"/>
      </w:r>
    </w:p>
    <w:p>
      <w:pPr>
        <w:pStyle w:val="Style6"/>
        <w:keepNext w:val="0"/>
        <w:keepLines w:val="0"/>
        <w:widowControl w:val="0"/>
        <w:numPr>
          <w:ilvl w:val="0"/>
          <w:numId w:val="19"/>
        </w:numPr>
        <w:shd w:val="clear" w:color="auto" w:fill="auto"/>
        <w:tabs>
          <w:tab w:pos="502" w:val="left"/>
        </w:tabs>
        <w:bidi w:val="0"/>
        <w:spacing w:before="0" w:after="0" w:line="240" w:lineRule="auto"/>
        <w:ind w:left="0" w:right="0" w:firstLine="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19"/>
        </w:numPr>
        <w:shd w:val="clear" w:color="auto" w:fill="auto"/>
        <w:tabs>
          <w:tab w:pos="502" w:val="left"/>
        </w:tabs>
        <w:bidi w:val="0"/>
        <w:spacing w:before="0" w:after="0" w:line="240" w:lineRule="auto"/>
        <w:ind w:left="0" w:right="0" w:firstLine="0"/>
        <w:jc w:val="both"/>
      </w:pPr>
      <w:bookmarkStart w:id="66" w:name="bookmark66"/>
      <w:bookmarkEnd w:id="66"/>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p>
    <w:p>
      <w:pPr>
        <w:pStyle w:val="Style6"/>
        <w:keepNext w:val="0"/>
        <w:keepLines w:val="0"/>
        <w:widowControl w:val="0"/>
        <w:shd w:val="clear" w:color="auto" w:fill="auto"/>
        <w:bidi w:val="0"/>
        <w:spacing w:before="0" w:after="0" w:line="240" w:lineRule="auto"/>
        <w:ind w:left="340" w:right="0" w:firstLine="20"/>
        <w:jc w:val="both"/>
        <w:rPr>
          <w:sz w:val="22"/>
          <w:szCs w:val="22"/>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 udaju/d-1369/p1=1459</w:t>
      </w:r>
      <w:r>
        <w:fldChar w:fldCharType="end"/>
      </w:r>
      <w:r>
        <w:rPr>
          <w:rFonts w:ascii="Times New Roman" w:eastAsia="Times New Roman" w:hAnsi="Times New Roman" w:cs="Times New Roman"/>
          <w:color w:val="000000"/>
          <w:spacing w:val="0"/>
          <w:w w:val="100"/>
          <w:position w:val="0"/>
          <w:sz w:val="22"/>
          <w:szCs w:val="22"/>
          <w:shd w:val="clear" w:color="auto" w:fill="auto"/>
          <w:lang w:val="cs-CZ" w:eastAsia="cs-CZ" w:bidi="cs-CZ"/>
        </w:rPr>
        <w:t>.</w:t>
      </w:r>
    </w:p>
    <w:p>
      <w:pPr>
        <w:pStyle w:val="Style6"/>
        <w:keepNext w:val="0"/>
        <w:keepLines w:val="0"/>
        <w:widowControl w:val="0"/>
        <w:shd w:val="clear" w:color="auto" w:fill="auto"/>
        <w:bidi w:val="0"/>
        <w:spacing w:before="0" w:after="0" w:line="240" w:lineRule="auto"/>
        <w:ind w:left="34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13.Objednatel podpisem této smlouvy přebírá povinnosti uvedené v Čestném prohlášení o zajištění sociálně odpovědného plnění předmětu veřejné zakázky, které je součástí nabídky objednatele podané v rámci Veřejné zakázky. Zhotovitel je oprávněn plnění těchto povinností kdykoliv kontrolovat, a to i bez předchozího ohlášení objednateli. Je-li k provedení kontroly potřeba předložení dokumentů, zavazuje se objednatel k jejich předložení nejpozději do 2 pracovních dnů od doručení výzvy zhotovitele.</w:t>
      </w:r>
    </w:p>
    <w:p>
      <w:pPr>
        <w:pStyle w:val="Style6"/>
        <w:keepNext w:val="0"/>
        <w:keepLines w:val="0"/>
        <w:widowControl w:val="0"/>
        <w:numPr>
          <w:ilvl w:val="0"/>
          <w:numId w:val="21"/>
        </w:numPr>
        <w:shd w:val="clear" w:color="auto" w:fill="auto"/>
        <w:tabs>
          <w:tab w:pos="502" w:val="left"/>
        </w:tabs>
        <w:bidi w:val="0"/>
        <w:spacing w:before="0" w:after="0" w:line="240" w:lineRule="auto"/>
        <w:ind w:left="340" w:right="0" w:hanging="340"/>
        <w:jc w:val="both"/>
      </w:pPr>
      <w:bookmarkStart w:id="67" w:name="bookmark67"/>
      <w:bookmarkEnd w:id="67"/>
      <w:r>
        <w:rPr>
          <w:rFonts w:ascii="Times New Roman" w:eastAsia="Times New Roman" w:hAnsi="Times New Roman" w:cs="Times New Roman"/>
          <w:color w:val="000000"/>
          <w:spacing w:val="0"/>
          <w:w w:val="100"/>
          <w:position w:val="0"/>
          <w:sz w:val="24"/>
          <w:szCs w:val="24"/>
          <w:shd w:val="clear" w:color="auto" w:fill="auto"/>
          <w:lang w:val="cs-CZ" w:eastAsia="cs-CZ" w:bidi="cs-CZ"/>
        </w:rPr>
        <w:t>Na svědectví tohoto smluvní strany tímto podepisují smlouvu. Tato smlouva je vyhotovena ve třech vyhotoveních, z nichž každé má platnost originálu. Po jejím podepsání obdrží objednatel dva a zhotovitel jeden výtisk.</w:t>
      </w:r>
    </w:p>
    <w:p>
      <w:pPr>
        <w:pStyle w:val="Style6"/>
        <w:keepNext w:val="0"/>
        <w:keepLines w:val="0"/>
        <w:widowControl w:val="0"/>
        <w:numPr>
          <w:ilvl w:val="0"/>
          <w:numId w:val="21"/>
        </w:numPr>
        <w:shd w:val="clear" w:color="auto" w:fill="auto"/>
        <w:tabs>
          <w:tab w:pos="502" w:val="left"/>
        </w:tabs>
        <w:bidi w:val="0"/>
        <w:spacing w:before="0" w:after="220" w:line="240" w:lineRule="auto"/>
        <w:ind w:left="340" w:right="0" w:hanging="340"/>
        <w:jc w:val="both"/>
      </w:pPr>
      <w:bookmarkStart w:id="68" w:name="bookmark68"/>
      <w:bookmarkEnd w:id="68"/>
      <w:r>
        <w:rPr>
          <w:rFonts w:ascii="Times New Roman" w:eastAsia="Times New Roman" w:hAnsi="Times New Roman" w:cs="Times New Roman"/>
          <w:color w:val="000000"/>
          <w:spacing w:val="0"/>
          <w:w w:val="100"/>
          <w:position w:val="0"/>
          <w:sz w:val="24"/>
          <w:szCs w:val="24"/>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4"/>
        <w:keepNext/>
        <w:keepLines/>
        <w:widowControl w:val="0"/>
        <w:shd w:val="clear" w:color="auto" w:fill="auto"/>
        <w:bidi w:val="0"/>
        <w:spacing w:before="0" w:line="240" w:lineRule="auto"/>
        <w:ind w:left="0" w:right="0" w:firstLine="340"/>
        <w:jc w:val="both"/>
      </w:pPr>
      <w:bookmarkStart w:id="69" w:name="bookmark69"/>
      <w:bookmarkStart w:id="70" w:name="bookmark70"/>
      <w:bookmarkStart w:id="71" w:name="bookmark71"/>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1)Tato smlouva</w:t>
      </w:r>
      <w:bookmarkEnd w:id="69"/>
      <w:bookmarkEnd w:id="70"/>
      <w:bookmarkEnd w:id="71"/>
    </w:p>
    <w:p>
      <w:pPr>
        <w:pStyle w:val="Style14"/>
        <w:keepNext/>
        <w:keepLines/>
        <w:widowControl w:val="0"/>
        <w:shd w:val="clear" w:color="auto" w:fill="auto"/>
        <w:bidi w:val="0"/>
        <w:spacing w:before="0" w:after="0" w:line="240" w:lineRule="auto"/>
        <w:ind w:left="0" w:right="0" w:firstLine="340"/>
        <w:jc w:val="both"/>
      </w:pPr>
      <w:bookmarkStart w:id="72" w:name="bookmark72"/>
      <w:bookmarkStart w:id="73" w:name="bookmark73"/>
      <w:bookmarkStart w:id="74" w:name="bookmark74"/>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2) Příloha č.1: Soupis prací</w:t>
      </w:r>
      <w:bookmarkEnd w:id="72"/>
      <w:bookmarkEnd w:id="73"/>
      <w:bookmarkEnd w:id="74"/>
    </w:p>
    <w:p>
      <w:pPr>
        <w:pStyle w:val="Style14"/>
        <w:keepNext/>
        <w:keepLines/>
        <w:widowControl w:val="0"/>
        <w:shd w:val="clear" w:color="auto" w:fill="auto"/>
        <w:bidi w:val="0"/>
        <w:spacing w:before="0" w:line="240" w:lineRule="auto"/>
        <w:ind w:right="0"/>
        <w:jc w:val="both"/>
      </w:pPr>
      <w:bookmarkStart w:id="75" w:name="bookmark75"/>
      <w:bookmarkStart w:id="76" w:name="bookmark76"/>
      <w:bookmarkStart w:id="77" w:name="bookmark77"/>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1)Příloha č.2: Čestné prohlášení o společensky odpovědném plnění veřejné zakázky.</w:t>
      </w:r>
      <w:bookmarkEnd w:id="75"/>
      <w:bookmarkEnd w:id="76"/>
      <w:bookmarkEnd w:id="77"/>
    </w:p>
    <w:p>
      <w:pPr>
        <w:pStyle w:val="Style14"/>
        <w:keepNext/>
        <w:keepLines/>
        <w:widowControl w:val="0"/>
        <w:shd w:val="clear" w:color="auto" w:fill="auto"/>
        <w:bidi w:val="0"/>
        <w:spacing w:before="0" w:line="240" w:lineRule="auto"/>
        <w:ind w:right="0"/>
        <w:jc w:val="both"/>
      </w:pPr>
      <w:bookmarkStart w:id="78" w:name="bookmark78"/>
      <w:bookmarkStart w:id="79" w:name="bookmark79"/>
      <w:bookmarkStart w:id="80" w:name="bookmark80"/>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1)Příloha č.3: Čestné prohlášení k finančním sankcím</w:t>
      </w:r>
      <w:bookmarkEnd w:id="78"/>
      <w:bookmarkEnd w:id="79"/>
      <w:bookmarkEnd w:id="80"/>
    </w:p>
    <w:p>
      <w:pPr>
        <w:pStyle w:val="Style14"/>
        <w:keepNext/>
        <w:keepLines/>
        <w:widowControl w:val="0"/>
        <w:shd w:val="clear" w:color="auto" w:fill="auto"/>
        <w:bidi w:val="0"/>
        <w:spacing w:before="0" w:after="180" w:line="240" w:lineRule="auto"/>
        <w:ind w:right="0"/>
        <w:jc w:val="both"/>
      </w:pPr>
      <w:bookmarkStart w:id="81" w:name="bookmark81"/>
      <w:bookmarkStart w:id="82" w:name="bookmark82"/>
      <w:bookmarkStart w:id="83" w:name="bookmark83"/>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1)Příloha č.4: Čestné prohlášení o neexistenci střetu zájmů</w:t>
      </w:r>
      <w:bookmarkEnd w:id="81"/>
      <w:bookmarkEnd w:id="82"/>
      <w:bookmarkEnd w:id="83"/>
    </w:p>
    <w:p>
      <w:pPr>
        <w:pStyle w:val="Style14"/>
        <w:keepNext/>
        <w:keepLines/>
        <w:widowControl w:val="0"/>
        <w:shd w:val="clear" w:color="auto" w:fill="auto"/>
        <w:bidi w:val="0"/>
        <w:spacing w:before="0" w:after="800" w:line="240" w:lineRule="auto"/>
        <w:ind w:right="0"/>
        <w:jc w:val="both"/>
      </w:pPr>
      <w:bookmarkStart w:id="84" w:name="bookmark84"/>
      <w:bookmarkStart w:id="85" w:name="bookmark85"/>
      <w:bookmarkStart w:id="86" w:name="bookmark86"/>
      <w:r>
        <w:rPr>
          <w:rFonts w:ascii="Times New Roman" w:eastAsia="Times New Roman" w:hAnsi="Times New Roman" w:cs="Times New Roman"/>
          <w:color w:val="000000"/>
          <w:spacing w:val="0"/>
          <w:w w:val="100"/>
          <w:position w:val="0"/>
          <w:sz w:val="24"/>
          <w:szCs w:val="24"/>
          <w:shd w:val="clear" w:color="auto" w:fill="auto"/>
          <w:lang w:val="cs-CZ" w:eastAsia="cs-CZ" w:bidi="cs-CZ"/>
        </w:rPr>
        <w:t>Priorita 1) Příloha č.5: Čestné prohlášení o splnění požadavků veřejné zakázky k rozsahu činností dodavatele.</w:t>
      </w:r>
      <w:bookmarkEnd w:id="84"/>
      <w:bookmarkEnd w:id="85"/>
      <w:bookmarkEnd w:id="86"/>
    </w:p>
    <w:p>
      <w:pPr>
        <w:pStyle w:val="Style6"/>
        <w:keepNext w:val="0"/>
        <w:keepLines w:val="0"/>
        <w:widowControl w:val="0"/>
        <w:shd w:val="clear" w:color="auto" w:fill="auto"/>
        <w:bidi w:val="0"/>
        <w:spacing w:before="0" w:after="18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4577715</wp:posOffset>
                </wp:positionH>
                <wp:positionV relativeFrom="paragraph">
                  <wp:posOffset>12700</wp:posOffset>
                </wp:positionV>
                <wp:extent cx="819785" cy="570230"/>
                <wp:wrapSquare wrapText="left"/>
                <wp:docPr id="6" name="Shape 6"/>
                <a:graphic xmlns:a="http://schemas.openxmlformats.org/drawingml/2006/main">
                  <a:graphicData uri="http://schemas.microsoft.com/office/word/2010/wordprocessingShape">
                    <wps:wsp>
                      <wps:cNvSpPr txBox="1"/>
                      <wps:spPr>
                        <a:xfrm>
                          <a:ext cx="819785" cy="570230"/>
                        </a:xfrm>
                        <a:prstGeom prst="rect"/>
                        <a:noFill/>
                      </wps:spPr>
                      <wps:txbx>
                        <w:txbxContent>
                          <w:p>
                            <w:pPr>
                              <w:pStyle w:val="Style6"/>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Praze dne:</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xbxContent>
                      </wps:txbx>
                      <wps:bodyPr lIns="0" tIns="0" rIns="0" bIns="0">
                        <a:noAutoFit/>
                      </wps:bodyPr>
                    </wps:wsp>
                  </a:graphicData>
                </a:graphic>
              </wp:anchor>
            </w:drawing>
          </mc:Choice>
          <mc:Fallback>
            <w:pict>
              <v:shape id="_x0000_s1032" type="#_x0000_t202" style="position:absolute;margin-left:360.44999999999999pt;margin-top:1.pt;width:64.549999999999997pt;height:44.8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8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Praze dne:</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w:t>
      </w:r>
    </w:p>
    <w:p>
      <w:pPr>
        <w:pStyle w:val="Style6"/>
        <w:keepNext w:val="0"/>
        <w:keepLines w:val="0"/>
        <w:widowControl w:val="0"/>
        <w:shd w:val="clear" w:color="auto" w:fill="auto"/>
        <w:bidi w:val="0"/>
        <w:spacing w:before="0" w:after="18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r>
    </w:p>
    <w:sectPr>
      <w:footnotePr>
        <w:pos w:val="pageBottom"/>
        <w:numFmt w:val="decimal"/>
        <w:numRestart w:val="continuous"/>
      </w:footnotePr>
      <w:pgSz w:w="11909" w:h="16838"/>
      <w:pgMar w:top="1353" w:left="1665" w:right="1055" w:bottom="167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3890645</wp:posOffset>
              </wp:positionH>
              <wp:positionV relativeFrom="page">
                <wp:posOffset>9924415</wp:posOffset>
              </wp:positionV>
              <wp:extent cx="69850" cy="189230"/>
              <wp:wrapNone/>
              <wp:docPr id="4" name="Shape 4"/>
              <a:graphic xmlns:a="http://schemas.openxmlformats.org/drawingml/2006/main">
                <a:graphicData uri="http://schemas.microsoft.com/office/word/2010/wordprocessingShape">
                  <wps:wsp>
                    <wps:cNvSpPr txBox="1"/>
                    <wps:spPr>
                      <a:xfrm>
                        <a:ext cx="6985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0" type="#_x0000_t202" style="position:absolute;margin-left:306.35000000000002pt;margin-top:781.45000000000005pt;width:5.5pt;height:14.9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1144270</wp:posOffset>
              </wp:positionH>
              <wp:positionV relativeFrom="page">
                <wp:posOffset>462915</wp:posOffset>
              </wp:positionV>
              <wp:extent cx="4645025" cy="170815"/>
              <wp:wrapNone/>
              <wp:docPr id="1" name="Shape 1"/>
              <a:graphic xmlns:a="http://schemas.openxmlformats.org/drawingml/2006/main">
                <a:graphicData uri="http://schemas.microsoft.com/office/word/2010/wordprocessingShape">
                  <wps:wsp>
                    <wps:cNvSpPr txBox="1"/>
                    <wps:spPr>
                      <a:xfrm>
                        <a:ext cx="4645025" cy="170815"/>
                      </a:xfrm>
                      <a:prstGeom prst="rect"/>
                      <a:noFill/>
                    </wps:spPr>
                    <wps:txbx>
                      <w:txbxContent>
                        <w:p>
                          <w:pPr>
                            <w:pStyle w:val="Style2"/>
                            <w:keepNext w:val="0"/>
                            <w:keepLines w:val="0"/>
                            <w:widowControl w:val="0"/>
                            <w:shd w:val="clear" w:color="auto" w:fill="auto"/>
                            <w:tabs>
                              <w:tab w:pos="731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w:t>
                            <w:tab/>
                            <w:t>Číslo zhotovitele: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0.100000000000009pt;margin-top:36.450000000000003pt;width:365.75pt;height:13.450000000000001pt;z-index:-18874406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731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Číslo objednatele:</w:t>
                      <w:tab/>
                      <w:t>Číslo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1095375</wp:posOffset>
              </wp:positionH>
              <wp:positionV relativeFrom="page">
                <wp:posOffset>713105</wp:posOffset>
              </wp:positionV>
              <wp:extent cx="5757545" cy="0"/>
              <wp:wrapNone/>
              <wp:docPr id="3" name="Shape 3"/>
              <a:graphic xmlns:a="http://schemas.openxmlformats.org/drawingml/2006/main">
                <a:graphicData uri="http://schemas.microsoft.com/office/word/2010/wordprocessingShape">
                  <wps:wsp>
                    <wps:cNvCnPr/>
                    <wps:spPr>
                      <a:xfrm>
                        <a:ext cx="5757545" cy="0"/>
                      </a:xfrm>
                      <a:prstGeom prst="straightConnector1"/>
                      <a:ln w="12700">
                        <a:solidFill/>
                      </a:ln>
                    </wps:spPr>
                    <wps:bodyPr/>
                  </wps:wsp>
                </a:graphicData>
              </a:graphic>
            </wp:anchor>
          </w:drawing>
        </mc:Choice>
        <mc:Fallback>
          <w:pict>
            <v:shape o:spt="32" o:oned="true" path="m,l21600,21600e" style="position:absolute;margin-left:86.25pt;margin-top:56.149999999999999pt;width:453.35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u w:val="none"/>
    </w:rPr>
  </w:style>
  <w:style w:type="character" w:customStyle="1" w:styleId="CharStyle11">
    <w:name w:val="Char Style 11"/>
    <w:basedOn w:val="DefaultParagraphFont"/>
    <w:link w:val="Style10"/>
    <w:rPr>
      <w:b/>
      <w:bCs/>
      <w:i w:val="0"/>
      <w:iCs w:val="0"/>
      <w:smallCaps w:val="0"/>
      <w:strike w:val="0"/>
      <w:sz w:val="28"/>
      <w:szCs w:val="28"/>
      <w:u w:val="none"/>
    </w:rPr>
  </w:style>
  <w:style w:type="character" w:customStyle="1" w:styleId="CharStyle15">
    <w:name w:val="Char Style 15"/>
    <w:basedOn w:val="DefaultParagraphFont"/>
    <w:link w:val="Style14"/>
    <w:rPr>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u w:val="none"/>
    </w:rPr>
  </w:style>
  <w:style w:type="paragraph" w:customStyle="1" w:styleId="Style10">
    <w:name w:val="Style 10"/>
    <w:basedOn w:val="Normal"/>
    <w:link w:val="CharStyle11"/>
    <w:pPr>
      <w:widowControl w:val="0"/>
      <w:shd w:val="clear" w:color="auto" w:fill="FFFFFF"/>
      <w:spacing w:after="120"/>
      <w:outlineLvl w:val="0"/>
    </w:pPr>
    <w:rPr>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after="60"/>
      <w:ind w:left="340" w:firstLine="20"/>
      <w:outlineLvl w:val="1"/>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veze 01/2010</dc:subject>
  <dc:creator>Smrž Petr</dc:creator>
  <cp:keywords/>
</cp:coreProperties>
</file>