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32"/>
          <w:szCs w:val="32"/>
        </w:rPr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Prováděcí smlouva o dílo uzavřená na základě rámcové dohody na geodetické služby 2024 - č. 1555/2023 ze dne 30.01.2024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  <w:rPr>
          <w:sz w:val="24"/>
          <w:szCs w:val="24"/>
        </w:rPr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1378/2024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  <w:bookmarkEnd w:id="5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6"/>
      <w:bookmarkEnd w:id="7"/>
      <w:bookmarkEnd w:id="8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0" w:line="264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„Zhotovení geometrického plánu pro oddělení pozemků tvořící koryto VT</w:t>
        <w:br/>
        <w:t>Spréva – HVT č. S 18, 26 v k. ú. Jiříkov a v k. ú. Filipov u Jiříkova“</w:t>
      </w:r>
      <w:bookmarkEnd w:id="10"/>
      <w:bookmarkEnd w:id="11"/>
      <w:bookmarkEnd w:id="9"/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20" w:val="left"/>
        </w:tabs>
        <w:bidi w:val="0"/>
        <w:spacing w:before="0" w:after="1780" w:line="240" w:lineRule="auto"/>
        <w:ind w:left="0" w:right="0" w:firstLine="0"/>
        <w:jc w:val="center"/>
        <w:rPr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558800</wp:posOffset>
                </wp:positionV>
                <wp:extent cx="804545" cy="81089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99999999999997pt;margin-top:44.pt;width:63.350000000000001pt;height:63.8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3401060</wp:posOffset>
                </wp:positionH>
                <wp:positionV relativeFrom="paragraph">
                  <wp:posOffset>558800</wp:posOffset>
                </wp:positionV>
                <wp:extent cx="2225040" cy="8077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807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  <w:bookmarkEnd w:id="1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80000000000001pt;margin-top:44.pt;width:175.20000000000002pt;height:63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Smluvní strany</w:t>
      </w:r>
      <w:bookmarkEnd w:id="12"/>
      <w:bookmarkEnd w:id="13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 při operativním a technickém řízení činností souvisejících se zhotovitelem díla, jako postupné upřesňování technického řešení a převzetí díla zastupuje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 Povodí Ohře, státní podnik, je zapsán v obchodním rejstříku Krajského soudu v Ústí nad Labem v oddílu A, vložce č. 13052.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GEOVIA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Židovice 128, 411 83 Hrobce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0" w:val="left"/>
        </w:tabs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Předmět díla</w:t>
      </w:r>
      <w:bookmarkEnd w:id="16"/>
      <w:bookmarkEnd w:id="17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na základě zadání poptávky objednatele ze dne 08.11.2024 a přijetí zakázky dne 11.11.2024. Předmětem veřejné zakázky je realizace dílčího plnění veřejné zakázky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Zhotovení geometrického plánu pro oddělení pozemků tvořící koryto VT Spréva – HVT č. S 18, 26 v k. ú. Jiříkov a v k. ú. Filipov u Jiříkova.“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v návaznosti na tuto skutečnost se zhotovitel zavazuje pro objednatele zpracovat v tomto článku uvedené geodetické práce.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zhotovení geometrického plánu pro oddělení částí pozemků v k. ú. Jiříkov a v k. ú. Filipov u Jiříkova pro plánované majetkoprávní vypořádání s dotčenými vlastníky. Jedná se o zaměření skutečného průběhu koryta VT Spréva – HVT č. S 18, 26 v říčním km 12,8 – 14,6. Jedná se o zaměření pouze na levém břehu na území ČR. Rozsah bude upřesněn v terénu.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závod Terezín - technická skupina.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a v souladu s příslušnými platnými technickými normami a předpisy.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předán objednateli ke kontrole ještě před předáním geometrického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41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plánu k odsouhlasení, a sice emailem na adresu:</w:t>
        <w:tab/>
        <w:t>ve formátu souboru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PDF a DGN či DFX.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bude předán objednateli ke kontrole formální a věcné úplnosti v místě plnění ve 14 vyhotoveních geometrických plánů + 1x na CD v elektronické verzi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lektronická verze musí obsahovat zaměření ve formátu pdf a dxf (případně dwg) a seznam souřadnic.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Úspěšné provedení kontroly je podmínkou podpisu Zjišťovacího protokolu o předání a převzetí díla.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1" w:val="left"/>
        </w:tabs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Termíny plnění</w:t>
      </w:r>
      <w:bookmarkEnd w:id="29"/>
      <w:bookmarkEnd w:id="30"/>
      <w:bookmarkEnd w:id="32"/>
    </w:p>
    <w:p>
      <w:pPr>
        <w:pStyle w:val="Style5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after="200" w:line="240" w:lineRule="auto"/>
        <w:ind w:left="440" w:right="0" w:hanging="440"/>
        <w:jc w:val="both"/>
        <w:rPr>
          <w:sz w:val="22"/>
          <w:szCs w:val="22"/>
        </w:rPr>
      </w:pPr>
      <w:bookmarkStart w:id="33" w:name="bookmark33"/>
      <w:bookmarkStart w:id="34" w:name="bookmark34"/>
      <w:bookmarkStart w:id="35" w:name="bookmark35"/>
      <w:bookmarkStart w:id="36" w:name="bookmark36"/>
      <w:bookmarkEnd w:id="3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Dílo bude předáno zhotovitelem objednateli v místě plnění díla v termínu: do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28.02.2025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.</w:t>
      </w:r>
      <w:bookmarkEnd w:id="33"/>
      <w:bookmarkEnd w:id="34"/>
      <w:bookmarkEnd w:id="36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0" w:val="left"/>
        </w:tabs>
        <w:bidi w:val="0"/>
        <w:spacing w:before="0" w:after="440" w:line="240" w:lineRule="auto"/>
        <w:ind w:left="440" w:right="0" w:hanging="4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písemný doklad o předání se považuje Protokol o předání a převzetí díla podepsaný zástupcem objednatele, který je pověřen operativním a technickým řízením činností souvisejících se zhotovitelem díla.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55" w:val="left"/>
        </w:tabs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Cena díla</w:t>
      </w:r>
      <w:bookmarkEnd w:id="38"/>
      <w:bookmarkEnd w:id="39"/>
      <w:bookmarkEnd w:id="4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00" w:val="left"/>
        </w:tabs>
        <w:bidi w:val="0"/>
        <w:spacing w:before="0" w:line="240" w:lineRule="auto"/>
        <w:ind w:left="440" w:right="0" w:hanging="4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 (verze 2024) – oblast Terezín, který tvoří přílohu č. 2.3 rámcové dohody č. 1555/2023 – položka X. 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18 MJ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Vyhotovení geometrického plánu pro rozdělení pozemků, 1MJ = 100 m = 5.000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tj. celkem 90.000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(slovy: devadesáttisíc korun českých). Cena zahrnuje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náklady zhotovitele související s realizací díla. K ceně díla bude připočtena DPH 21%.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je dána na základě cenové nabídky zhotovitele a jím předloženého nezávazného rozpočtu zhotovitele a bude uhrazena po provedení díla dle skutečně provedených prací.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zhotovitele způsobené změnou rozsahu, termínů a dalších náležitostí dodávky rozdílně od uzavřené smlouvy, pokud byly tyto změny objednatelem vyžádány nebo pokud jim byly způsobeny, budou předem vzájemně odsouhlaseny smluvními stranami dodatkem k 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440" w:right="0" w:hanging="4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2"/>
          <w:szCs w:val="22"/>
        </w:rPr>
      </w:pPr>
      <w:bookmarkStart w:id="46" w:name="bookmark46"/>
      <w:bookmarkStart w:id="47" w:name="bookmark47"/>
      <w:bookmarkStart w:id="48" w:name="bookmark48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IX. Ostatní ujednání</w:t>
      </w:r>
      <w:bookmarkEnd w:id="46"/>
      <w:bookmarkEnd w:id="47"/>
      <w:bookmarkEnd w:id="48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 jakéhokoliv omezení.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after="720" w:line="240" w:lineRule="auto"/>
        <w:ind w:left="440" w:right="0" w:hanging="4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zahájením geodetických prací vyzve prokazatelně zhotovitel zástupce objednatele k upřesnění předmětu smlouvy v terénu. Požadujeme účast pracovníka Povodí Ohře, s.p.,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2"/>
          <w:szCs w:val="22"/>
        </w:rPr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XI. Závěrečná ustanovení</w:t>
      </w:r>
      <w:bookmarkEnd w:id="53"/>
      <w:bookmarkEnd w:id="54"/>
      <w:bookmarkEnd w:id="5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1555/2023 uzavřenou dne 30.01.2024.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 Smluvní vztahy se řídí i Rámcovou dohodou č. 1555/2023 uzavřenou dne 30.01.2024.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220" w:line="240" w:lineRule="auto"/>
        <w:ind w:left="440" w:right="0" w:hanging="44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</w:t>
      </w:r>
      <w:r>
        <w:fldChar w:fldCharType="end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1060" w:line="240" w:lineRule="auto"/>
        <w:ind w:left="440" w:right="0" w:hanging="44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svědectví tohoto smluvní strany tímto podepisují smlouvu. Tato smlouva je vyhotovena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(PDF dokument).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a zhotovitel obdrží oboustranně podepsanou smlouvu (digitální podpisy) 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(PDF dokument).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13" w:left="1393" w:right="1385" w:bottom="1364" w:header="58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12700</wp:posOffset>
                </wp:positionV>
                <wp:extent cx="1222375" cy="22542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35000000000002pt;margin-top:1.pt;width:96.25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  <w:bookmarkEnd w:id="6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……………………….……………………….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1423" w:bottom="1287" w:header="0" w:footer="3" w:gutter="0"/>
          <w:cols w:num="2" w:space="720" w:equalWidth="0">
            <w:col w:w="3638" w:space="1315"/>
            <w:col w:w="413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GEOVIA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1423" w:bottom="1287" w:header="0" w:footer="3" w:gutter="0"/>
      <w:cols w:num="2" w:space="720" w:equalWidth="0">
        <w:col w:w="3638" w:space="1315"/>
        <w:col w:w="413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9889490</wp:posOffset>
              </wp:positionV>
              <wp:extent cx="734695" cy="2101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4695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25pt;margin-top:778.70000000000005pt;width:57.850000000000001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