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val="0"/>
        <w:keepLines w:val="0"/>
        <w:widowControl w:val="0"/>
        <w:shd w:val="clear" w:color="auto" w:fill="auto"/>
        <w:bidi w:val="0"/>
        <w:spacing w:before="0" w:after="180" w:line="300" w:lineRule="auto"/>
        <w:ind w:left="0" w:right="0" w:firstLine="3000"/>
        <w:jc w:val="left"/>
      </w:pPr>
      <w:bookmarkStart w:id="3" w:name="bookmark3"/>
      <w:bookmarkStart w:id="4" w:name="bookmark4"/>
      <w:r>
        <w:rPr>
          <w:b/>
          <w:bCs/>
          <w:color w:val="000000"/>
          <w:spacing w:val="0"/>
          <w:w w:val="100"/>
          <w:position w:val="0"/>
          <w:sz w:val="36"/>
          <w:szCs w:val="36"/>
          <w:shd w:val="clear" w:color="auto" w:fill="auto"/>
          <w:lang w:val="cs-CZ" w:eastAsia="cs-CZ" w:bidi="cs-CZ"/>
        </w:rPr>
        <w:t xml:space="preserve">SMLOUVĚ O DÍLO </w:t>
      </w:r>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3"/>
      <w:bookmarkEnd w:id="4"/>
    </w:p>
    <w:p>
      <w:pPr>
        <w:pStyle w:val="Style2"/>
        <w:keepNext w:val="0"/>
        <w:keepLines w:val="0"/>
        <w:widowControl w:val="0"/>
        <w:shd w:val="clear" w:color="auto" w:fill="auto"/>
        <w:bidi w:val="0"/>
        <w:spacing w:before="0" w:after="180" w:line="240" w:lineRule="auto"/>
        <w:ind w:left="0" w:right="0" w:firstLine="0"/>
        <w:jc w:val="center"/>
      </w:pPr>
      <w:bookmarkStart w:id="5" w:name="bookmark5"/>
      <w:bookmarkStart w:id="6" w:name="bookmark6"/>
      <w:r>
        <w:rPr>
          <w:color w:val="000000"/>
          <w:spacing w:val="0"/>
          <w:w w:val="100"/>
          <w:position w:val="0"/>
          <w:shd w:val="clear" w:color="auto" w:fill="auto"/>
          <w:lang w:val="cs-CZ" w:eastAsia="cs-CZ" w:bidi="cs-CZ"/>
        </w:rPr>
        <w:t>Číslo smlouvy objednatele: 743/2024</w:t>
        <w:br/>
        <w:t>Číslo smlouvy zhotovitele: SMD25010</w:t>
      </w:r>
      <w:bookmarkEnd w:id="5"/>
      <w:bookmarkEnd w:id="6"/>
    </w:p>
    <w:p>
      <w:pPr>
        <w:pStyle w:val="Style2"/>
        <w:keepNext w:val="0"/>
        <w:keepLines w:val="0"/>
        <w:widowControl w:val="0"/>
        <w:shd w:val="clear" w:color="auto" w:fill="auto"/>
        <w:bidi w:val="0"/>
        <w:spacing w:before="0" w:after="0" w:line="48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480" w:lineRule="auto"/>
        <w:ind w:left="0" w:right="0" w:firstLine="1460"/>
        <w:jc w:val="left"/>
      </w:pPr>
      <w:r>
        <w:rPr>
          <w:b/>
          <w:bCs/>
          <w:color w:val="000000"/>
          <w:spacing w:val="0"/>
          <w:w w:val="100"/>
          <w:position w:val="0"/>
          <w:shd w:val="clear" w:color="auto" w:fill="auto"/>
          <w:lang w:val="cs-CZ" w:eastAsia="cs-CZ" w:bidi="cs-CZ"/>
        </w:rPr>
        <w:t>“Tvršický vodovod – opravy s nátěry v šachtách č. 1, 2 a 4” Smluvní strany:</w:t>
      </w:r>
    </w:p>
    <w:p>
      <w:pPr>
        <w:pStyle w:val="Style2"/>
        <w:keepNext w:val="0"/>
        <w:keepLines w:val="0"/>
        <w:widowControl w:val="0"/>
        <w:shd w:val="clear" w:color="auto" w:fill="auto"/>
        <w:tabs>
          <w:tab w:pos="2801" w:val="left"/>
        </w:tabs>
        <w:bidi w:val="0"/>
        <w:spacing w:before="0" w:after="0" w:line="240" w:lineRule="auto"/>
        <w:ind w:left="0" w:right="0" w:firstLine="0"/>
        <w:jc w:val="left"/>
      </w:pPr>
      <w:bookmarkStart w:id="7" w:name="bookmark7"/>
      <w:bookmarkStart w:id="8" w:name="bookmark8"/>
      <w:r>
        <w:rPr>
          <w:b/>
          <w:bCs/>
          <w:color w:val="000000"/>
          <w:spacing w:val="0"/>
          <w:w w:val="100"/>
          <w:position w:val="0"/>
          <w:shd w:val="clear" w:color="auto" w:fill="auto"/>
          <w:lang w:val="cs-CZ" w:eastAsia="cs-CZ" w:bidi="cs-CZ"/>
        </w:rPr>
        <w:t>objednatel:</w:t>
        <w:tab/>
        <w:t>Povodí Ohře, státní podnik</w:t>
      </w:r>
      <w:bookmarkEnd w:id="7"/>
      <w:bookmarkEnd w:id="8"/>
    </w:p>
    <w:p>
      <w:pPr>
        <w:pStyle w:val="Style4"/>
        <w:keepNext/>
        <w:keepLines/>
        <w:widowControl w:val="0"/>
        <w:shd w:val="clear" w:color="auto" w:fill="auto"/>
        <w:tabs>
          <w:tab w:pos="2801" w:val="left"/>
        </w:tabs>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sídlo:</w:t>
        <w:tab/>
        <w:t>Bezručova 4219, 430 03 Chomutov</w:t>
      </w:r>
      <w:bookmarkEnd w:id="10"/>
      <w:bookmarkEnd w:id="11"/>
      <w:bookmarkEnd w:id="9"/>
    </w:p>
    <w:p>
      <w:pPr>
        <w:pStyle w:val="Style4"/>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statutární orgán:</w:t>
      </w:r>
      <w:bookmarkEnd w:id="12"/>
      <w:bookmarkEnd w:id="13"/>
      <w:bookmarkEnd w:id="14"/>
    </w:p>
    <w:p>
      <w:pPr>
        <w:pStyle w:val="Style2"/>
        <w:keepNext w:val="0"/>
        <w:keepLines w:val="0"/>
        <w:widowControl w:val="0"/>
        <w:shd w:val="clear" w:color="auto" w:fill="auto"/>
        <w:bidi w:val="0"/>
        <w:spacing w:before="0" w:after="180" w:line="240" w:lineRule="auto"/>
        <w:ind w:left="0" w:right="0" w:firstLine="0"/>
        <w:jc w:val="left"/>
      </w:pPr>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bookmarkEnd w:id="16"/>
    </w:p>
    <w:p>
      <w:pPr>
        <w:pStyle w:val="Style4"/>
        <w:keepNext/>
        <w:keepLines/>
        <w:widowControl w:val="0"/>
        <w:shd w:val="clear" w:color="auto" w:fill="auto"/>
        <w:bidi w:val="0"/>
        <w:spacing w:before="0" w:after="18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technický dozor objednatele:</w:t>
      </w:r>
      <w:bookmarkEnd w:id="17"/>
      <w:bookmarkEnd w:id="18"/>
      <w:bookmarkEnd w:id="19"/>
    </w:p>
    <w:p>
      <w:pPr>
        <w:pStyle w:val="Style4"/>
        <w:keepNext/>
        <w:keepLines/>
        <w:widowControl w:val="0"/>
        <w:shd w:val="clear" w:color="auto" w:fill="auto"/>
        <w:tabs>
          <w:tab w:pos="2801"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IČO:</w:t>
        <w:tab/>
        <w:t>70889988</w:t>
      </w:r>
      <w:bookmarkEnd w:id="20"/>
      <w:bookmarkEnd w:id="21"/>
      <w:bookmarkEnd w:id="22"/>
    </w:p>
    <w:p>
      <w:pPr>
        <w:pStyle w:val="Style4"/>
        <w:keepNext/>
        <w:keepLines/>
        <w:widowControl w:val="0"/>
        <w:shd w:val="clear" w:color="auto" w:fill="auto"/>
        <w:tabs>
          <w:tab w:pos="2801"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DIČ:</w:t>
        <w:tab/>
        <w:t>CZ70889988</w:t>
      </w:r>
      <w:bookmarkEnd w:id="23"/>
      <w:bookmarkEnd w:id="24"/>
      <w:bookmarkEnd w:id="25"/>
    </w:p>
    <w:p>
      <w:pPr>
        <w:pStyle w:val="Style4"/>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13"/>
        <w:keepNext w:val="0"/>
        <w:keepLines w:val="0"/>
        <w:widowControl w:val="0"/>
        <w:shd w:val="clear" w:color="auto" w:fill="auto"/>
        <w:bidi w:val="0"/>
        <w:spacing w:before="0" w:after="0" w:line="240" w:lineRule="auto"/>
        <w:ind w:left="0" w:right="0" w:firstLine="0"/>
        <w:jc w:val="left"/>
      </w:pPr>
      <w:bookmarkStart w:id="35" w:name="bookmark35"/>
      <w:r>
        <w:rPr>
          <w:b/>
          <w:bCs/>
          <w:color w:val="000000"/>
          <w:spacing w:val="0"/>
          <w:w w:val="100"/>
          <w:position w:val="0"/>
          <w:shd w:val="clear" w:color="auto" w:fill="auto"/>
          <w:lang w:val="cs-CZ" w:eastAsia="cs-CZ" w:bidi="cs-CZ"/>
        </w:rPr>
        <w:t>a</w:t>
      </w:r>
      <w:bookmarkEnd w:id="35"/>
    </w:p>
    <w:tbl>
      <w:tblPr>
        <w:tblOverlap w:val="never"/>
        <w:jc w:val="center"/>
        <w:tblLayout w:type="fixed"/>
      </w:tblPr>
      <w:tblGrid>
        <w:gridCol w:w="1968"/>
        <w:gridCol w:w="7114"/>
      </w:tblGrid>
      <w:tr>
        <w:trPr>
          <w:trHeight w:val="27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bookmarkStart w:id="36" w:name="bookmark36"/>
            <w:r>
              <w:rPr>
                <w:b/>
                <w:bCs/>
                <w:color w:val="000000"/>
                <w:spacing w:val="0"/>
                <w:w w:val="100"/>
                <w:position w:val="0"/>
                <w:shd w:val="clear" w:color="auto" w:fill="auto"/>
                <w:lang w:val="cs-CZ" w:eastAsia="cs-CZ" w:bidi="cs-CZ"/>
              </w:rPr>
              <w:t>zhotovitel:</w:t>
            </w:r>
            <w:bookmarkEnd w:id="36"/>
          </w:p>
        </w:tc>
        <w:tc>
          <w:tcPr>
            <w:tcBorders>
              <w:top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Intermont, Opatrný, s.r.o.</w:t>
            </w:r>
          </w:p>
        </w:tc>
      </w:tr>
      <w:tr>
        <w:trPr>
          <w:trHeight w:val="278"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860"/>
              <w:jc w:val="left"/>
            </w:pPr>
            <w:bookmarkStart w:id="37" w:name="bookmark37"/>
            <w:r>
              <w:rPr>
                <w:color w:val="000000"/>
                <w:spacing w:val="0"/>
                <w:w w:val="100"/>
                <w:position w:val="0"/>
                <w:shd w:val="clear" w:color="auto" w:fill="auto"/>
                <w:lang w:val="cs-CZ" w:eastAsia="cs-CZ" w:bidi="cs-CZ"/>
              </w:rPr>
              <w:t>Mostecká 1973, 431 11 Jirkov</w:t>
            </w:r>
            <w:bookmarkEnd w:id="37"/>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widowControl w:val="0"/>
        <w:spacing w:after="719" w:line="1" w:lineRule="exact"/>
      </w:pPr>
    </w:p>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oprávněn(i) jednat o věcech technických: stavbyvedoucí:</w:t>
      </w:r>
      <w:bookmarkEnd w:id="38"/>
      <w:bookmarkEnd w:id="39"/>
      <w:bookmarkEnd w:id="40"/>
    </w:p>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bookmarkStart w:id="41" w:name="bookmark41"/>
      <w:bookmarkStart w:id="42" w:name="bookmark42"/>
      <w:r>
        <w:rPr>
          <w:color w:val="000000"/>
          <w:spacing w:val="0"/>
          <w:w w:val="100"/>
          <w:position w:val="0"/>
          <w:shd w:val="clear" w:color="auto" w:fill="auto"/>
          <w:lang w:val="cs-CZ" w:eastAsia="cs-CZ" w:bidi="cs-CZ"/>
        </w:rPr>
        <w:t>manažer stavby:</w:t>
      </w:r>
      <w:bookmarkEnd w:id="41"/>
      <w:bookmarkEnd w:id="42"/>
    </w:p>
    <w:p>
      <w:pPr>
        <w:pStyle w:val="Style4"/>
        <w:keepNext/>
        <w:keepLines/>
        <w:widowControl w:val="0"/>
        <w:pBdr>
          <w:top w:val="single" w:sz="4" w:space="0" w:color="auto"/>
        </w:pBdr>
        <w:shd w:val="clear" w:color="auto" w:fill="auto"/>
        <w:tabs>
          <w:tab w:pos="2801" w:val="left"/>
        </w:tabs>
        <w:bidi w:val="0"/>
        <w:spacing w:before="0" w:after="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IČO:</w:t>
        <w:tab/>
        <w:t>49900854</w:t>
      </w:r>
      <w:bookmarkEnd w:id="43"/>
      <w:bookmarkEnd w:id="44"/>
      <w:bookmarkEnd w:id="45"/>
    </w:p>
    <w:p>
      <w:pPr>
        <w:pStyle w:val="Style4"/>
        <w:keepNext/>
        <w:keepLines/>
        <w:widowControl w:val="0"/>
        <w:pBdr>
          <w:top w:val="single" w:sz="4" w:space="0" w:color="auto"/>
        </w:pBdr>
        <w:shd w:val="clear" w:color="auto" w:fill="auto"/>
        <w:tabs>
          <w:tab w:pos="2801"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DIČ:</w:t>
        <w:tab/>
        <w:t>CZ49900854</w:t>
      </w:r>
      <w:bookmarkEnd w:id="46"/>
      <w:bookmarkEnd w:id="47"/>
      <w:bookmarkEnd w:id="48"/>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bankovní spojení:</w:t>
      </w:r>
      <w:bookmarkEnd w:id="49"/>
      <w:bookmarkEnd w:id="50"/>
      <w:bookmarkEnd w:id="51"/>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číslo účtu:</w:t>
      </w:r>
      <w:bookmarkEnd w:id="52"/>
      <w:bookmarkEnd w:id="53"/>
      <w:bookmarkEnd w:id="54"/>
    </w:p>
    <w:p>
      <w:pPr>
        <w:pStyle w:val="Style4"/>
        <w:keepNext/>
        <w:keepLines/>
        <w:widowControl w:val="0"/>
        <w:pBdr>
          <w:top w:val="single" w:sz="4" w:space="0" w:color="auto"/>
        </w:pBdr>
        <w:shd w:val="clear" w:color="auto" w:fill="auto"/>
        <w:tabs>
          <w:tab w:pos="2801" w:val="left"/>
        </w:tabs>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zápis v obchodním rejstříku: u Krajského soudu v Ústí nad Labem, oddíl C, vložka 5877 tel.:</w:t>
        <w:tab/>
        <w:t>e-mail:</w:t>
      </w:r>
      <w:bookmarkEnd w:id="55"/>
      <w:bookmarkEnd w:id="56"/>
      <w:bookmarkEnd w:id="57"/>
    </w:p>
    <w:p>
      <w:pPr>
        <w:pStyle w:val="Style2"/>
        <w:keepNext w:val="0"/>
        <w:keepLines w:val="0"/>
        <w:widowControl w:val="0"/>
        <w:shd w:val="clear" w:color="auto" w:fill="auto"/>
        <w:bidi w:val="0"/>
        <w:spacing w:before="0" w:after="44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(dále jen „zhotovitel“)</w:t>
      </w:r>
      <w:bookmarkEnd w:id="58"/>
      <w:bookmarkEnd w:id="59"/>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r>
        <w:br w:type="page"/>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 termínu předání a převzetí dokončeného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Dle platné smlouvy o dílo byly smluvně dohodnuty 2 termíny odstávek potrubí na max. dobu 48 hod. po odstavení potrubí objednatelem. Po první odstávce která proběhla 3.9.2024 byly po zpětném napuštění potrubí zjištěny průsaky kolem revizního vlezu potrubí DN600 v šachtě č.4. V rámci další plánované odstávky (16.9.2024) byla dohodnuta oprava svarů na potrubí kolem revizního vlezu. Vzhledem k max. možné době odstávky na 48 hod. nebyla časově splnitelná i výměna zbývající technologie. Prodloužení termínu dokončení díla z důvodu potřeby další odstávky, která dle platných smluv objednatele s odběrateli vody na Tvršickém vodovodu musí být hlášena 30 dní předem. Odstávka v období po 30.09.2024 již není možná z důvodu probíhající topné sezóny a většímu riziku poškození potrubí při odstavení v rámci nízkých teplot. Realizace zbývajících prací bude provedena v následujícím roce na výzvu objednatele do 40 dní, nejpozději do 30.09.2025. TDS konstatuje, že původní termín 2. odstávky nebylo možné časově dodržet, vzhledem ke změnám v technologickém postupu stavby.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na mimořádném kontrolním dnu stavby ze dne 11.10.2024.</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Mění se: Čl. II. Termín plnění, bod 1. písmeno c) předání a převzetí díla: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Nejpozději do 30.09.2024</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výzvu objednatele provedenou do stavebního deníku po doložení materiálové připravenosti zhotovitele ale nejpozději do 30.09.2025</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 w:lineRule="exact"/>
      </w:pPr>
      <w:r>
        <mc:AlternateContent>
          <mc:Choice Requires="wps">
            <w:drawing>
              <wp:anchor distT="25400" distB="0" distL="0" distR="0" simplePos="0" relativeHeight="125829378" behindDoc="0" locked="0" layoutInCell="1" allowOverlap="1">
                <wp:simplePos x="0" y="0"/>
                <wp:positionH relativeFrom="page">
                  <wp:posOffset>885190</wp:posOffset>
                </wp:positionH>
                <wp:positionV relativeFrom="paragraph">
                  <wp:posOffset>25400</wp:posOffset>
                </wp:positionV>
                <wp:extent cx="2045335" cy="387350"/>
                <wp:wrapTopAndBottom/>
                <wp:docPr id="1" name="Shape 1"/>
                <a:graphic xmlns:a="http://schemas.openxmlformats.org/drawingml/2006/main">
                  <a:graphicData uri="http://schemas.microsoft.com/office/word/2010/wordprocessingShape">
                    <wps:wsp>
                      <wps:cNvSpPr txBox="1"/>
                      <wps:spPr>
                        <a:xfrm>
                          <a:ext cx="204533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2.pt;width:161.05000000000001pt;height:30.5pt;z-index:-125829375;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v:textbox>
                <w10:wrap type="topAndBottom" anchorx="page"/>
              </v:shape>
            </w:pict>
          </mc:Fallback>
        </mc:AlternateContent>
      </w:r>
      <w:r>
        <mc:AlternateContent>
          <mc:Choice Requires="wps">
            <w:drawing>
              <wp:anchor distT="25400" distB="0" distL="0" distR="0" simplePos="0" relativeHeight="125829380" behindDoc="0" locked="0" layoutInCell="1" allowOverlap="1">
                <wp:simplePos x="0" y="0"/>
                <wp:positionH relativeFrom="page">
                  <wp:posOffset>4085590</wp:posOffset>
                </wp:positionH>
                <wp:positionV relativeFrom="paragraph">
                  <wp:posOffset>25400</wp:posOffset>
                </wp:positionV>
                <wp:extent cx="1993265" cy="387350"/>
                <wp:wrapTopAndBottom/>
                <wp:docPr id="3" name="Shape 3"/>
                <a:graphic xmlns:a="http://schemas.openxmlformats.org/drawingml/2006/main">
                  <a:graphicData uri="http://schemas.microsoft.com/office/word/2010/wordprocessingShape">
                    <wps:wsp>
                      <wps:cNvSpPr txBox="1"/>
                      <wps:spPr>
                        <a:xfrm>
                          <a:ext cx="19932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Jirkově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lIns="0" tIns="0" rIns="0" bIns="0">
                        <a:noAutoFit/>
                      </wps:bodyPr>
                    </wps:wsp>
                  </a:graphicData>
                </a:graphic>
              </wp:anchor>
            </w:drawing>
          </mc:Choice>
          <mc:Fallback>
            <w:pict>
              <v:shape id="_x0000_s1029" type="#_x0000_t202" style="position:absolute;margin-left:321.69999999999999pt;margin-top:2.pt;width:156.95000000000002pt;height:30.5pt;z-index:-125829373;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Jirkově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9" w:h="16838"/>
          <w:pgMar w:top="997" w:left="1394" w:right="1389" w:bottom="1255" w:header="569" w:footer="3" w:gutter="0"/>
          <w:pgNumType w:start="1"/>
          <w:cols w:space="720"/>
          <w:noEndnote/>
          <w:rtlGutter w:val="0"/>
          <w:docGrid w:linePitch="360"/>
        </w:sectPr>
      </w:pPr>
      <w:r>
        <mc:AlternateContent>
          <mc:Choice Requires="wps">
            <w:drawing>
              <wp:anchor distT="1054100" distB="0" distL="0" distR="0" simplePos="0" relativeHeight="125829382" behindDoc="0" locked="0" layoutInCell="1" allowOverlap="1">
                <wp:simplePos x="0" y="0"/>
                <wp:positionH relativeFrom="page">
                  <wp:posOffset>885190</wp:posOffset>
                </wp:positionH>
                <wp:positionV relativeFrom="paragraph">
                  <wp:posOffset>1054100</wp:posOffset>
                </wp:positionV>
                <wp:extent cx="1688465" cy="389890"/>
                <wp:wrapTopAndBottom/>
                <wp:docPr id="7" name="Shape 7"/>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3" type="#_x0000_t202" style="position:absolute;margin-left:69.700000000000003pt;margin-top:83.pt;width:132.94999999999999pt;height:30.699999999999999pt;z-index:-125829371;mso-wrap-distance-left:0;mso-wrap-distance-top:8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1054100" distB="0" distL="0" distR="0" simplePos="0" relativeHeight="125829384" behindDoc="0" locked="0" layoutInCell="1" allowOverlap="1">
                <wp:simplePos x="0" y="0"/>
                <wp:positionH relativeFrom="page">
                  <wp:posOffset>4085590</wp:posOffset>
                </wp:positionH>
                <wp:positionV relativeFrom="paragraph">
                  <wp:posOffset>1054100</wp:posOffset>
                </wp:positionV>
                <wp:extent cx="1588135" cy="389890"/>
                <wp:wrapTopAndBottom/>
                <wp:docPr id="9" name="Shape 9"/>
                <a:graphic xmlns:a="http://schemas.openxmlformats.org/drawingml/2006/main">
                  <a:graphicData uri="http://schemas.microsoft.com/office/word/2010/wordprocessingShape">
                    <wps:wsp>
                      <wps:cNvSpPr txBox="1"/>
                      <wps:spPr>
                        <a:xfrm>
                          <a:ext cx="158813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Intermont, Opatrný, s.r.o.</w:t>
                            </w:r>
                          </w:p>
                        </w:txbxContent>
                      </wps:txbx>
                      <wps:bodyPr lIns="0" tIns="0" rIns="0" bIns="0">
                        <a:noAutoFit/>
                      </wps:bodyPr>
                    </wps:wsp>
                  </a:graphicData>
                </a:graphic>
              </wp:anchor>
            </w:drawing>
          </mc:Choice>
          <mc:Fallback>
            <w:pict>
              <v:shape id="_x0000_s1035" type="#_x0000_t202" style="position:absolute;margin-left:321.69999999999999pt;margin-top:83.pt;width:125.05pt;height:30.699999999999999pt;z-index:-125829369;mso-wrap-distance-left:0;mso-wrap-distance-top:8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Intermont, Opatrný, s.r.o.</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584" w:left="0" w:right="0" w:bottom="1014"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5060" w:right="0" w:firstLine="0"/>
        <w:jc w:val="left"/>
        <w:sectPr>
          <w:footnotePr>
            <w:pos w:val="pageBottom"/>
            <w:numFmt w:val="decimal"/>
            <w:numRestart w:val="continuous"/>
          </w:footnotePr>
          <w:type w:val="continuous"/>
          <w:pgSz w:w="11909" w:h="16838"/>
          <w:pgMar w:top="1584" w:left="1394" w:right="1389" w:bottom="1014" w:header="0" w:footer="3" w:gutter="0"/>
          <w:cols w:space="720"/>
          <w:noEndnote/>
          <w:rtlGutter w:val="0"/>
          <w:docGrid w:linePitch="360"/>
        </w:sectPr>
      </w:pPr>
      <w:r>
        <w:rPr>
          <w:color w:val="000000"/>
          <w:spacing w:val="0"/>
          <w:w w:val="100"/>
          <w:position w:val="0"/>
          <w:shd w:val="clear" w:color="auto" w:fill="auto"/>
          <w:lang w:val="cs-CZ" w:eastAsia="cs-CZ" w:bidi="cs-CZ"/>
        </w:rPr>
        <w:t>Intermont, Opatrný, s.r.o.</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3</w:t>
      </w:r>
    </w:p>
    <w:sectPr>
      <w:footerReference w:type="default" r:id="rId6"/>
      <w:footnotePr>
        <w:pos w:val="pageBottom"/>
        <w:numFmt w:val="decimal"/>
        <w:numRestart w:val="continuous"/>
      </w:footnotePr>
      <w:pgSz w:w="11909" w:h="16838"/>
      <w:pgMar w:top="15590" w:left="1399" w:right="1385" w:bottom="673" w:header="15162" w:footer="24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9958705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 id="_x0000_s1031" type="#_x0000_t202" style="position:absolute;margin-left:459.94999999999999pt;margin-top:784.14999999999998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9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9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Jor Tomáš</dc:creator>
  <cp:keywords/>
</cp:coreProperties>
</file>