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8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360"/>
        <w:gridCol w:w="1380"/>
        <w:gridCol w:w="740"/>
        <w:gridCol w:w="180"/>
        <w:gridCol w:w="60"/>
        <w:gridCol w:w="2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0017910996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764167496" name="Picture">
</wp:docPr>
                  <a:graphic>
                    <a:graphicData uri="http://schemas.openxmlformats.org/drawingml/2006/picture">
                      <pic:pic>
                        <pic:nvPicPr>
                          <pic:cNvPr id="1764167496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60913037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CZ60913037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SQS vláknová optika a.s.</w:t>
                    <w:br/>
                    <w:t xml:space="preserve">Komenského 304</w:t>
                    <w:br/>
                    <w:t xml:space="preserve">50901 NOVÁ PAKA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26.08.2017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včetně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Prosíme o zaslání potvrzení objednávky do 3 pracovních dnů. Z důvodu uznatelnosti nákladů musí být na faktuře uvedeno číslo objednávky, číslo projektu CZ.02.1.01/0.0/0.0/15_008/0000162 a název projektu ELI - EXTREME LIGHT INFRASTRUCTURE - fáze 2 , v opačném případě bude faktura vrácena. Kupující preferuje elektronickou fakturaci na elektronickou adresu efaktury@fzu.cz.  Vystavené daňové doklady nesmí být v rozporu s mezinárodními dohodami o zamezení dvojího zdanění, budou-li se na konkrétní případ vztahovat.</w:t>
              <w:br/>
              <w:t xml:space="preserve">Tato objednávka bude uveřejněna v souladu se zákonem č. 340/2015 Sb., o zvláštních podmínkách účinnosti některých smluv, uveřejňování těchto smluv a o registru smluv, v 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FC/PC - FC/PC patchcord, 0.25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268.00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1 608.00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SMA905 - FC/PC patchcord, 0.5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546.00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4 368.00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FC/PC - FC/PC patchcord, 13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1 740.00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1 740.00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FC/PC - FC/PC patchcord, 16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2 517.00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2 517.00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FC/PC - FC/PC patchcord, 40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5 925.00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35 550.00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FC/PC - FC/PC patchcord, 12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1 625.00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6 500.00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FC/PC - FC/PC patchcord, 11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FC/PC - FC/PC patchcord, 10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1 395.00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6 975.00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MM S105/125, FC/PC - FC/PC patchcord, 20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3 085.00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6 170.00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14 057.00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14 057.00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80 995.00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60"/>
        <w:gridCol w:w="20"/>
        <w:gridCol w:w="20"/>
        <w:gridCol w:w="2480"/>
        <w:gridCol w:w="20"/>
        <w:gridCol w:w="1000"/>
        <w:gridCol w:w="1720"/>
        <w:gridCol w:w="80"/>
        <w:gridCol w:w="940"/>
        <w:gridCol w:w="340"/>
        <w:gridCol w:w="420"/>
        <w:gridCol w:w="290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80 995.00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13.07.2017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