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2552"/>
        <w:gridCol w:w="6518"/>
      </w:tblGrid>
      <w:tr w:rsidR="00BF19BC" w:rsidRPr="00BF19BC" w14:paraId="7D4B9ABA" w14:textId="77777777" w:rsidTr="00BF19BC">
        <w:tc>
          <w:tcPr>
            <w:tcW w:w="2552" w:type="dxa"/>
          </w:tcPr>
          <w:p w14:paraId="6265F794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7CD7C91F" w14:textId="77777777" w:rsidR="00BF19BC" w:rsidRPr="00BF19BC" w:rsidRDefault="00BF19BC" w:rsidP="0043480E">
            <w:pPr>
              <w:spacing w:after="0" w:line="240" w:lineRule="auto"/>
              <w:ind w:left="-102"/>
              <w:rPr>
                <w:b/>
                <w:sz w:val="20"/>
                <w:szCs w:val="20"/>
                <w:lang w:eastAsia="cs-CZ"/>
              </w:rPr>
            </w:pPr>
            <w:r w:rsidRPr="00BF19BC">
              <w:rPr>
                <w:b/>
                <w:sz w:val="20"/>
                <w:szCs w:val="20"/>
                <w:lang w:eastAsia="cs-CZ"/>
              </w:rPr>
              <w:t>BTL zdravotnická technika, a.s.</w:t>
            </w:r>
          </w:p>
        </w:tc>
      </w:tr>
      <w:tr w:rsidR="00BF19BC" w:rsidRPr="00BF19BC" w14:paraId="3399071B" w14:textId="77777777" w:rsidTr="00BF19BC">
        <w:tc>
          <w:tcPr>
            <w:tcW w:w="2552" w:type="dxa"/>
          </w:tcPr>
          <w:p w14:paraId="587BC422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1F204237" w14:textId="77777777" w:rsidR="00BF19BC" w:rsidRPr="00BF19BC" w:rsidRDefault="00BF19BC" w:rsidP="0043480E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26884143</w:t>
            </w:r>
          </w:p>
        </w:tc>
      </w:tr>
      <w:tr w:rsidR="00BF19BC" w:rsidRPr="00BF19BC" w14:paraId="1E8BD7B5" w14:textId="77777777" w:rsidTr="00BF19BC">
        <w:tc>
          <w:tcPr>
            <w:tcW w:w="2552" w:type="dxa"/>
          </w:tcPr>
          <w:p w14:paraId="10B26975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27846E65" w14:textId="77777777" w:rsidR="00BF19BC" w:rsidRPr="00BF19BC" w:rsidRDefault="00BF19BC" w:rsidP="0043480E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CZ26884143</w:t>
            </w:r>
          </w:p>
        </w:tc>
      </w:tr>
      <w:tr w:rsidR="00BF19BC" w:rsidRPr="00BF19BC" w14:paraId="6DC30FBD" w14:textId="77777777" w:rsidTr="00BF19BC">
        <w:tc>
          <w:tcPr>
            <w:tcW w:w="2552" w:type="dxa"/>
          </w:tcPr>
          <w:p w14:paraId="75DF0B60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08C44CCD" w14:textId="77777777" w:rsidR="00BF19BC" w:rsidRPr="00BF19BC" w:rsidRDefault="00BF19BC" w:rsidP="0043480E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Makovského náměstí 3147/2, 616 00, Brno</w:t>
            </w:r>
          </w:p>
        </w:tc>
      </w:tr>
      <w:tr w:rsidR="00BF19BC" w:rsidRPr="00BF19BC" w14:paraId="21819041" w14:textId="77777777" w:rsidTr="00BF19BC">
        <w:tc>
          <w:tcPr>
            <w:tcW w:w="2552" w:type="dxa"/>
          </w:tcPr>
          <w:p w14:paraId="6F3FB97F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7ABC3671" w14:textId="77777777" w:rsidR="00BF19BC" w:rsidRPr="00BF19BC" w:rsidRDefault="00BF19BC" w:rsidP="0043480E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Ing. Radovan Sedlář, prokurista společnosti</w:t>
            </w:r>
          </w:p>
        </w:tc>
      </w:tr>
      <w:tr w:rsidR="00BF19BC" w:rsidRPr="00BF19BC" w14:paraId="1ED5B7E0" w14:textId="77777777" w:rsidTr="00BF19BC">
        <w:tc>
          <w:tcPr>
            <w:tcW w:w="2552" w:type="dxa"/>
          </w:tcPr>
          <w:p w14:paraId="0287C331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2D57DD68" w14:textId="77777777" w:rsidR="00BF19BC" w:rsidRPr="00BF19BC" w:rsidRDefault="00BF19BC" w:rsidP="0043480E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Československá obchodní banka, a.s.</w:t>
            </w:r>
          </w:p>
        </w:tc>
      </w:tr>
      <w:tr w:rsidR="00BF19BC" w:rsidRPr="00BF19BC" w14:paraId="2518E91D" w14:textId="77777777" w:rsidTr="00BF19BC">
        <w:tc>
          <w:tcPr>
            <w:tcW w:w="2552" w:type="dxa"/>
          </w:tcPr>
          <w:p w14:paraId="07FBD5BC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63433A1A" w14:textId="77777777" w:rsidR="00BF19BC" w:rsidRPr="00BF19BC" w:rsidRDefault="00BF19BC" w:rsidP="0043480E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478546723/0300</w:t>
            </w:r>
          </w:p>
        </w:tc>
      </w:tr>
      <w:tr w:rsidR="00BF19BC" w:rsidRPr="00BF19BC" w14:paraId="56C24D6C" w14:textId="77777777" w:rsidTr="00BF19BC">
        <w:tc>
          <w:tcPr>
            <w:tcW w:w="9070" w:type="dxa"/>
            <w:gridSpan w:val="2"/>
          </w:tcPr>
          <w:p w14:paraId="47B3C611" w14:textId="77777777" w:rsidR="00BF19BC" w:rsidRPr="00BF19BC" w:rsidRDefault="00BF19BC" w:rsidP="0043480E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BF19BC">
              <w:rPr>
                <w:sz w:val="20"/>
                <w:szCs w:val="20"/>
                <w:lang w:eastAsia="cs-CZ"/>
              </w:rPr>
              <w:t>Zapsaná v obchodním rejstříku Krajského soudu v Brně, oddíl B, vložka 3889</w:t>
            </w:r>
          </w:p>
        </w:tc>
      </w:tr>
    </w:tbl>
    <w:p w14:paraId="3D9D2FD2" w14:textId="77777777" w:rsidR="00BF19BC" w:rsidRDefault="00BF19BC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31AFBAC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8021B0F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>Oblastní nemocnice Mladá Boleslav, a.s., 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3A5F875A" w:rsidR="00B96387" w:rsidRPr="005707E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BF19BC">
        <w:rPr>
          <w:rFonts w:ascii="Verdana" w:hAnsi="Verdana"/>
          <w:b/>
          <w:sz w:val="20"/>
          <w:lang w:eastAsia="cs-CZ"/>
        </w:rPr>
        <w:t>Spinální dekompresní systém BTL PREMIUM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 w:rsidRPr="005707EA">
        <w:rPr>
          <w:rFonts w:ascii="Verdana" w:hAnsi="Verdana"/>
          <w:sz w:val="20"/>
          <w:lang w:eastAsia="cs-CZ"/>
        </w:rPr>
        <w:t>24</w:t>
      </w:r>
      <w:r w:rsidRPr="005707EA"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6CE1A0A1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</w:t>
      </w:r>
      <w:bookmarkStart w:id="1" w:name="_GoBack"/>
      <w:bookmarkEnd w:id="1"/>
      <w:r w:rsidR="00B95F37" w:rsidRPr="00CF44AB">
        <w:rPr>
          <w:rFonts w:ascii="Verdana" w:hAnsi="Verdana"/>
          <w:sz w:val="20"/>
          <w:lang w:eastAsia="cs-CZ"/>
        </w:rPr>
        <w:t>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0F945B06" w:rsidR="00B96387" w:rsidRPr="0062683B" w:rsidRDefault="00B96387" w:rsidP="0062683B">
      <w:pPr>
        <w:pStyle w:val="Nadpis2"/>
        <w:rPr>
          <w:rFonts w:ascii="Verdana" w:hAnsi="Verdana"/>
          <w:b/>
          <w:iCs/>
          <w:sz w:val="20"/>
          <w:lang w:eastAsia="cs-CZ"/>
        </w:rPr>
      </w:pPr>
      <w:r w:rsidRPr="0062683B">
        <w:rPr>
          <w:rFonts w:ascii="Verdana" w:hAnsi="Verdana"/>
          <w:sz w:val="20"/>
        </w:rPr>
        <w:t xml:space="preserve">Tato smlouva je uzavírána na základě výběru dodavatele ve veřejné zakázce </w:t>
      </w:r>
      <w:r w:rsidR="00A716E9" w:rsidRPr="0062683B">
        <w:rPr>
          <w:rFonts w:ascii="Verdana" w:hAnsi="Verdana"/>
          <w:sz w:val="20"/>
        </w:rPr>
        <w:t>malého rozsahu zadávané mimo režim</w:t>
      </w:r>
      <w:r w:rsidRPr="0062683B">
        <w:rPr>
          <w:rFonts w:ascii="Verdana" w:hAnsi="Verdana"/>
          <w:sz w:val="20"/>
        </w:rPr>
        <w:t xml:space="preserve"> zákona č. 134/2016 Sb., o zadávání veřejných zakázek, ve znění pozdějších předpisů s názvem </w:t>
      </w:r>
      <w:r w:rsidR="001A76B3" w:rsidRPr="00D04E51">
        <w:rPr>
          <w:rFonts w:ascii="Verdana" w:hAnsi="Verdana"/>
          <w:b/>
          <w:bCs/>
          <w:sz w:val="20"/>
          <w:lang w:eastAsia="cs-CZ"/>
        </w:rPr>
        <w:t>„</w:t>
      </w:r>
      <w:r w:rsidR="00676C8F" w:rsidRPr="00676C8F">
        <w:rPr>
          <w:rFonts w:ascii="Verdana" w:hAnsi="Verdana"/>
          <w:b/>
          <w:bCs/>
          <w:sz w:val="20"/>
          <w:lang w:eastAsia="cs-CZ"/>
        </w:rPr>
        <w:t>Systém spinální dekomprese</w:t>
      </w:r>
      <w:r w:rsidR="001A76B3" w:rsidRPr="00D04E51">
        <w:rPr>
          <w:rFonts w:ascii="Verdana" w:hAnsi="Verdana"/>
          <w:b/>
          <w:bCs/>
          <w:sz w:val="20"/>
          <w:lang w:eastAsia="cs-CZ"/>
        </w:rPr>
        <w:t>“</w:t>
      </w:r>
      <w:r w:rsidR="0062683B">
        <w:rPr>
          <w:rFonts w:ascii="Verdana" w:hAnsi="Verdana"/>
          <w:b/>
          <w:iCs/>
          <w:sz w:val="20"/>
          <w:lang w:eastAsia="cs-CZ"/>
        </w:rPr>
        <w:t xml:space="preserve"> </w:t>
      </w:r>
      <w:r w:rsidRPr="0062683B">
        <w:rPr>
          <w:rFonts w:ascii="Verdana" w:hAnsi="Verdana"/>
          <w:sz w:val="20"/>
          <w:lang w:eastAsia="cs-CZ"/>
        </w:rPr>
        <w:t>(dále jen „</w:t>
      </w:r>
      <w:r w:rsidRPr="0062683B">
        <w:rPr>
          <w:rFonts w:ascii="Verdana" w:hAnsi="Verdana"/>
          <w:b/>
          <w:sz w:val="20"/>
          <w:lang w:eastAsia="cs-CZ"/>
        </w:rPr>
        <w:t>veřejná zakázka</w:t>
      </w:r>
      <w:r w:rsidRPr="0062683B">
        <w:rPr>
          <w:rFonts w:ascii="Verdana" w:hAnsi="Verdana"/>
          <w:sz w:val="20"/>
          <w:lang w:eastAsia="cs-CZ"/>
        </w:rPr>
        <w:t>“). Zhotovitel prohlašuje, že měl před podáním své nabídky k dispozici požadavky objednatele na rozsah dodávky dle této smlouvy, a to jako součást zadávací dokumentace veřejné zakázky. Zhotovitel tyto požadavky před podáním své nabídky s vynaložením odborné péče přezkoumal a na základě toho prohlašuje, že je schopen předmět plnění dle této smlouvy splnit.</w:t>
      </w:r>
    </w:p>
    <w:p w14:paraId="63FF5437" w14:textId="2F9F90EE" w:rsidR="005707EA" w:rsidRPr="005707EA" w:rsidRDefault="00B96387" w:rsidP="005707EA">
      <w:pPr>
        <w:pStyle w:val="Nadpis2"/>
        <w:keepNext w:val="0"/>
        <w:widowControl/>
        <w:adjustRightInd/>
        <w:spacing w:after="240"/>
        <w:textAlignment w:val="auto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2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2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69E84BAF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proofErr w:type="spellStart"/>
      <w:r>
        <w:rPr>
          <w:rFonts w:ascii="Verdana" w:hAnsi="Verdana"/>
          <w:sz w:val="20"/>
          <w:lang w:eastAsia="cs-CZ"/>
        </w:rPr>
        <w:t>hotline</w:t>
      </w:r>
      <w:proofErr w:type="spellEnd"/>
      <w:r>
        <w:rPr>
          <w:rFonts w:ascii="Verdana" w:hAnsi="Verdana"/>
          <w:sz w:val="20"/>
          <w:lang w:eastAsia="cs-CZ"/>
        </w:rPr>
        <w:t xml:space="preserve"> servisní podporu v pracovních dnech.</w:t>
      </w:r>
    </w:p>
    <w:p w14:paraId="2AB6BC24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</w:t>
      </w:r>
      <w:proofErr w:type="spellStart"/>
      <w:r w:rsidRPr="00A06C3F">
        <w:rPr>
          <w:rFonts w:ascii="Verdana" w:hAnsi="Verdana"/>
          <w:sz w:val="20"/>
          <w:lang w:eastAsia="cs-CZ"/>
        </w:rPr>
        <w:t>elektrorevize</w:t>
      </w:r>
      <w:proofErr w:type="spellEnd"/>
      <w:r w:rsidRPr="00A06C3F">
        <w:rPr>
          <w:rFonts w:ascii="Verdana" w:hAnsi="Verdana"/>
          <w:sz w:val="20"/>
          <w:lang w:eastAsia="cs-CZ"/>
        </w:rPr>
        <w:t xml:space="preserve">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756B8635" w14:textId="77777777" w:rsidR="00302AB5" w:rsidRPr="00566B59" w:rsidRDefault="00302AB5" w:rsidP="00566B59">
      <w:pPr>
        <w:rPr>
          <w:lang w:eastAsia="cs-CZ"/>
        </w:rPr>
      </w:pPr>
    </w:p>
    <w:p w14:paraId="465A45C6" w14:textId="5B37BB77" w:rsidR="001877C4" w:rsidRDefault="00B96387" w:rsidP="001877C4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>ujících k řešení závad zařízení, včetně závad zjištěných při měření zkoušek dlouhodobé stability. Servisní činnost může být prováděna jak vzdáleně, tak i v místě plnění. Provádění oprav zahrnuje rovněž dopravu</w:t>
      </w:r>
      <w:r w:rsidR="004136B8">
        <w:rPr>
          <w:rFonts w:ascii="Verdana" w:hAnsi="Verdana"/>
          <w:sz w:val="20"/>
          <w:lang w:eastAsia="cs-CZ"/>
        </w:rPr>
        <w:t>, ztrátový čas na cestě, práci technika</w:t>
      </w:r>
      <w:r w:rsidR="00302AB5">
        <w:rPr>
          <w:rFonts w:ascii="Verdana" w:hAnsi="Verdana"/>
          <w:sz w:val="20"/>
          <w:lang w:eastAsia="cs-CZ"/>
        </w:rPr>
        <w:t xml:space="preserve">. </w:t>
      </w:r>
    </w:p>
    <w:p w14:paraId="60E2EB3F" w14:textId="595FAC1A" w:rsidR="00302AB5" w:rsidRPr="001877C4" w:rsidRDefault="00302AB5" w:rsidP="00566B59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877C4">
        <w:rPr>
          <w:rFonts w:ascii="Verdana" w:hAnsi="Verdana"/>
          <w:sz w:val="20"/>
          <w:lang w:eastAsia="cs-CZ"/>
        </w:rPr>
        <w:t xml:space="preserve">Dodání náhradních dílů, je činnost, která je mimo rozsah servisních služeb dle čl. 2 odst. 2.1 této smlouvy, není součástí ceny za provádění servisních služeb dle čl. 3 odst. 3.1 této smlouvy a rovněž není předmětem hodnocení nabídky účastníka v rámci této veřejné zakázky. Poskytnutí této činností ze strany zhotovitele (vč. ceny) bude vždy předem odsouhlaseno zástupcem objednatele a bude ze strany zhotovitele účtováno zvlášť. </w:t>
      </w:r>
    </w:p>
    <w:p w14:paraId="516E4368" w14:textId="197D4D63" w:rsidR="00302AB5" w:rsidRPr="00302AB5" w:rsidRDefault="00302AB5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74A6F6B5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676C8F">
        <w:rPr>
          <w:rFonts w:ascii="Verdana" w:hAnsi="Verdana"/>
          <w:sz w:val="20"/>
          <w:lang w:eastAsia="cs-CZ"/>
        </w:rPr>
        <w:br/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71A2265F" w:rsidR="00B96387" w:rsidRPr="005707E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5707EA">
        <w:rPr>
          <w:rFonts w:ascii="Verdana" w:hAnsi="Verdana"/>
          <w:sz w:val="20"/>
          <w:lang w:eastAsia="cs-CZ"/>
        </w:rPr>
        <w:t xml:space="preserve">Místem provádění servisních služeb je </w:t>
      </w:r>
      <w:r w:rsidRPr="005707EA">
        <w:rPr>
          <w:rFonts w:ascii="Verdana" w:hAnsi="Verdana"/>
          <w:b/>
          <w:sz w:val="20"/>
          <w:lang w:eastAsia="cs-CZ"/>
        </w:rPr>
        <w:t>sídlo objednatele</w:t>
      </w:r>
      <w:r w:rsidR="0038549C" w:rsidRPr="005707EA">
        <w:rPr>
          <w:rFonts w:ascii="Verdana" w:hAnsi="Verdana"/>
          <w:b/>
          <w:sz w:val="20"/>
          <w:lang w:eastAsia="cs-CZ"/>
        </w:rPr>
        <w:t xml:space="preserve">, konkrétně </w:t>
      </w:r>
      <w:r w:rsidR="00676C8F" w:rsidRPr="005707EA">
        <w:rPr>
          <w:rFonts w:ascii="Verdana" w:hAnsi="Verdana"/>
          <w:b/>
          <w:sz w:val="20"/>
          <w:lang w:eastAsia="cs-CZ"/>
        </w:rPr>
        <w:t>Rehabilitační oddělení</w:t>
      </w:r>
      <w:r w:rsidRPr="005707EA">
        <w:rPr>
          <w:rFonts w:ascii="Verdana" w:hAnsi="Verdana"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5707EA">
        <w:rPr>
          <w:rFonts w:ascii="Verdana" w:hAnsi="Verdana"/>
          <w:sz w:val="20"/>
          <w:lang w:eastAsia="cs-CZ"/>
        </w:rPr>
        <w:t>O provedené servisní službě bude vyhotoven písemný záznam (servisní list)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11D034D7" w14:textId="48024147" w:rsidR="00B96387" w:rsidRPr="004B6B28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b/>
          <w:bCs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</w:p>
    <w:p w14:paraId="7B87E42F" w14:textId="198F0EA5" w:rsidR="00B96387" w:rsidRPr="00CB7B3B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tel: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</w:p>
    <w:p w14:paraId="2749D53D" w14:textId="20319F38" w:rsidR="00B96387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email: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CB7B3B">
        <w:rPr>
          <w:rFonts w:ascii="Verdana" w:hAnsi="Verdana"/>
          <w:sz w:val="20"/>
          <w:lang w:eastAsia="cs-CZ"/>
        </w:rPr>
        <w:tab/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55D1ACDE" w14:textId="2AB5E191" w:rsidR="00BF19BC" w:rsidRPr="00BF19BC" w:rsidRDefault="00B95F37" w:rsidP="00BF19BC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BF19BC">
        <w:rPr>
          <w:rFonts w:ascii="Verdana" w:hAnsi="Verdana"/>
          <w:sz w:val="20"/>
          <w:lang w:eastAsia="cs-CZ"/>
        </w:rPr>
        <w:t>Jméno a příjmení:</w:t>
      </w:r>
      <w:r w:rsidRPr="00BF19BC">
        <w:rPr>
          <w:rFonts w:ascii="Verdana" w:hAnsi="Verdana"/>
          <w:sz w:val="20"/>
          <w:lang w:eastAsia="cs-CZ"/>
        </w:rPr>
        <w:tab/>
      </w:r>
    </w:p>
    <w:p w14:paraId="67E1A13B" w14:textId="1E9B3053" w:rsidR="00BF19BC" w:rsidRPr="00BF19BC" w:rsidRDefault="00BF19BC" w:rsidP="00BF19BC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BF19BC">
        <w:rPr>
          <w:rFonts w:ascii="Verdana" w:hAnsi="Verdana"/>
          <w:sz w:val="20"/>
          <w:lang w:eastAsia="cs-CZ"/>
        </w:rPr>
        <w:t>tel:</w:t>
      </w:r>
      <w:r w:rsidRPr="00BF19BC">
        <w:rPr>
          <w:rFonts w:ascii="Verdana" w:hAnsi="Verdana"/>
          <w:sz w:val="20"/>
          <w:lang w:eastAsia="cs-CZ"/>
        </w:rPr>
        <w:tab/>
      </w:r>
      <w:r w:rsidRPr="00BF19BC">
        <w:rPr>
          <w:rFonts w:ascii="Verdana" w:hAnsi="Verdana"/>
          <w:sz w:val="20"/>
          <w:lang w:eastAsia="cs-CZ"/>
        </w:rPr>
        <w:tab/>
      </w:r>
      <w:r w:rsidRPr="00BF19BC">
        <w:rPr>
          <w:rFonts w:ascii="Verdana" w:hAnsi="Verdana"/>
          <w:sz w:val="20"/>
          <w:lang w:eastAsia="cs-CZ"/>
        </w:rPr>
        <w:tab/>
      </w:r>
    </w:p>
    <w:p w14:paraId="55F33371" w14:textId="42999FEB" w:rsidR="00BF19BC" w:rsidRPr="00BF19BC" w:rsidRDefault="00BF19BC" w:rsidP="00BF19BC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BF19BC">
        <w:rPr>
          <w:rFonts w:ascii="Verdana" w:hAnsi="Verdana"/>
          <w:sz w:val="20"/>
          <w:lang w:eastAsia="cs-CZ"/>
        </w:rPr>
        <w:t>email:</w:t>
      </w:r>
      <w:r w:rsidRPr="00BF19BC">
        <w:rPr>
          <w:rFonts w:ascii="Verdana" w:hAnsi="Verdana"/>
          <w:sz w:val="20"/>
          <w:lang w:eastAsia="cs-CZ"/>
        </w:rPr>
        <w:tab/>
      </w:r>
      <w:r w:rsidRPr="00BF19BC">
        <w:rPr>
          <w:rFonts w:ascii="Verdana" w:hAnsi="Verdana"/>
          <w:sz w:val="20"/>
          <w:lang w:eastAsia="cs-CZ"/>
        </w:rPr>
        <w:tab/>
      </w:r>
      <w:r w:rsidRPr="00BF19BC">
        <w:rPr>
          <w:rFonts w:ascii="Verdana" w:hAnsi="Verdana"/>
          <w:sz w:val="20"/>
          <w:lang w:eastAsia="cs-CZ"/>
        </w:rPr>
        <w:tab/>
      </w:r>
    </w:p>
    <w:p w14:paraId="67167F82" w14:textId="3C4C4A78" w:rsidR="00B96387" w:rsidRDefault="00B96387" w:rsidP="00BF19BC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4304FD17" w14:textId="316E320C" w:rsidR="005707EA" w:rsidRDefault="005707EA" w:rsidP="005707EA">
      <w:pPr>
        <w:rPr>
          <w:lang w:eastAsia="cs-CZ"/>
        </w:rPr>
      </w:pPr>
    </w:p>
    <w:p w14:paraId="6B82D644" w14:textId="77777777" w:rsidR="005707EA" w:rsidRPr="005707EA" w:rsidRDefault="005707EA" w:rsidP="005707EA">
      <w:pPr>
        <w:rPr>
          <w:lang w:eastAsia="cs-CZ"/>
        </w:rPr>
      </w:pPr>
    </w:p>
    <w:p w14:paraId="65269E47" w14:textId="2DDF2F30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0FD83F89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</w:t>
      </w:r>
      <w:r w:rsidRPr="00BF19BC">
        <w:rPr>
          <w:rFonts w:ascii="Verdana" w:hAnsi="Verdana"/>
          <w:sz w:val="20"/>
          <w:lang w:eastAsia="cs-CZ"/>
        </w:rPr>
        <w:t xml:space="preserve">výši </w:t>
      </w:r>
      <w:r w:rsidR="00BF19BC" w:rsidRPr="00BF19BC">
        <w:rPr>
          <w:rFonts w:ascii="Verdana" w:hAnsi="Verdana"/>
          <w:b/>
          <w:sz w:val="20"/>
          <w:lang w:eastAsia="cs-CZ"/>
        </w:rPr>
        <w:t>110.000</w:t>
      </w:r>
      <w:r w:rsidRPr="00BF19BC">
        <w:rPr>
          <w:rFonts w:ascii="Verdana" w:hAnsi="Verdana"/>
          <w:b/>
          <w:sz w:val="20"/>
          <w:lang w:eastAsia="cs-CZ"/>
        </w:rPr>
        <w:t>,- Kč bez DPH ročně</w:t>
      </w:r>
      <w:r w:rsidRPr="00BF19BC">
        <w:rPr>
          <w:rFonts w:ascii="Verdana" w:hAnsi="Verdana"/>
          <w:sz w:val="20"/>
          <w:lang w:eastAsia="cs-CZ"/>
        </w:rPr>
        <w:t>. K této ceně bude připočtena DPH v aktuální platné</w:t>
      </w:r>
      <w:r>
        <w:rPr>
          <w:rFonts w:ascii="Verdana" w:hAnsi="Verdana"/>
          <w:sz w:val="20"/>
          <w:lang w:eastAsia="cs-CZ"/>
        </w:rPr>
        <w:t xml:space="preserve">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3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4" w:name="_Hlk131074513"/>
      <w:bookmarkStart w:id="5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6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6"/>
      <w:r w:rsidRPr="00CB7B3B">
        <w:rPr>
          <w:rFonts w:ascii="Verdana" w:hAnsi="Verdana"/>
          <w:sz w:val="20"/>
          <w:lang w:eastAsia="cs-CZ"/>
        </w:rPr>
        <w:t>, je zhotovitel oprávněn jednou ročně provést jednostranné zvýšení odměny, o to maximálně o míru inflace vyjádřenou přírůstkem průměrného indexu spotřebitelských cen (CPI-</w:t>
      </w:r>
      <w:proofErr w:type="spellStart"/>
      <w:r w:rsidRPr="00CB7B3B">
        <w:rPr>
          <w:rFonts w:ascii="Verdana" w:hAnsi="Verdana"/>
          <w:sz w:val="20"/>
          <w:lang w:eastAsia="cs-CZ"/>
        </w:rPr>
        <w:t>Consumer</w:t>
      </w:r>
      <w:proofErr w:type="spellEnd"/>
      <w:r w:rsidRPr="00CB7B3B">
        <w:rPr>
          <w:rFonts w:ascii="Verdana" w:hAnsi="Verdana"/>
          <w:sz w:val="20"/>
          <w:lang w:eastAsia="cs-CZ"/>
        </w:rPr>
        <w:t xml:space="preserve"> </w:t>
      </w:r>
      <w:proofErr w:type="spellStart"/>
      <w:r w:rsidRPr="00CB7B3B">
        <w:rPr>
          <w:rFonts w:ascii="Verdana" w:hAnsi="Verdana"/>
          <w:sz w:val="20"/>
          <w:lang w:eastAsia="cs-CZ"/>
        </w:rPr>
        <w:t>Price</w:t>
      </w:r>
      <w:proofErr w:type="spellEnd"/>
      <w:r w:rsidRPr="00CB7B3B">
        <w:rPr>
          <w:rFonts w:ascii="Verdana" w:hAnsi="Verdana"/>
          <w:sz w:val="20"/>
          <w:lang w:eastAsia="cs-CZ"/>
        </w:rPr>
        <w:t xml:space="preserve">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4"/>
    </w:p>
    <w:bookmarkEnd w:id="5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0C942D24" w14:textId="1688FA8A" w:rsidR="005707EA" w:rsidRPr="005707EA" w:rsidRDefault="00B96387" w:rsidP="005707EA">
      <w:pPr>
        <w:pStyle w:val="Nadpis2"/>
        <w:keepNext w:val="0"/>
        <w:widowControl/>
        <w:adjustRightInd/>
        <w:spacing w:before="120" w:after="24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proofErr w:type="gramStart"/>
      <w:r w:rsidRPr="00CB7B3B">
        <w:rPr>
          <w:rFonts w:ascii="Verdana" w:hAnsi="Verdana"/>
          <w:sz w:val="20"/>
          <w:lang w:eastAsia="cs-CZ"/>
        </w:rPr>
        <w:tab/>
        <w:t xml:space="preserve">  6</w:t>
      </w:r>
      <w:proofErr w:type="gramEnd"/>
      <w:r w:rsidRPr="00CB7B3B">
        <w:rPr>
          <w:rFonts w:ascii="Verdana" w:hAnsi="Verdana"/>
          <w:sz w:val="20"/>
          <w:lang w:eastAsia="cs-CZ"/>
        </w:rPr>
        <w:t xml:space="preserve">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lastRenderedPageBreak/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6759FC69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</w:t>
      </w:r>
      <w:r w:rsidR="007401F3">
        <w:rPr>
          <w:rFonts w:ascii="Verdana" w:hAnsi="Verdana"/>
          <w:sz w:val="20"/>
          <w:lang w:eastAsia="cs-CZ"/>
        </w:rPr>
        <w:t xml:space="preserve"> a </w:t>
      </w:r>
      <w:r w:rsidRPr="00C04E91">
        <w:rPr>
          <w:rFonts w:ascii="Verdana" w:hAnsi="Verdana"/>
          <w:sz w:val="20"/>
          <w:lang w:eastAsia="cs-CZ"/>
        </w:rPr>
        <w:t>nedostatečnou údržbou</w:t>
      </w:r>
      <w:r w:rsidR="007401F3">
        <w:rPr>
          <w:rFonts w:ascii="Verdana" w:hAnsi="Verdana"/>
          <w:sz w:val="20"/>
          <w:lang w:eastAsia="cs-CZ"/>
        </w:rPr>
        <w:t>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7BE9A0F5" w14:textId="69131BBE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59C087E2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r w:rsidR="00851348">
        <w:rPr>
          <w:rFonts w:ascii="Verdana" w:hAnsi="Verdana"/>
          <w:sz w:val="20"/>
        </w:rPr>
        <w:t>5</w:t>
      </w:r>
      <w:r w:rsidRPr="001F6D42">
        <w:rPr>
          <w:rFonts w:ascii="Verdana" w:hAnsi="Verdana"/>
          <w:sz w:val="20"/>
        </w:rPr>
        <w:t xml:space="preserve">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3F95A44F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3BD13EB" w14:textId="7FA7F781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2D994B5D" w14:textId="7382D7E9" w:rsidR="00C86D39" w:rsidRPr="00C86D39" w:rsidRDefault="00B96387" w:rsidP="00C86D39">
      <w:pPr>
        <w:pStyle w:val="Nadpis2"/>
        <w:keepNext w:val="0"/>
        <w:widowControl/>
        <w:tabs>
          <w:tab w:val="num" w:pos="993"/>
        </w:tabs>
        <w:adjustRightInd/>
        <w:spacing w:after="24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98D5725" w14:textId="6FF3DC1C" w:rsidR="003F79F5" w:rsidRPr="00C86D39" w:rsidRDefault="00B96387" w:rsidP="00C86D39">
      <w:pPr>
        <w:pStyle w:val="Nadpis2"/>
        <w:keepNext w:val="0"/>
        <w:widowControl/>
        <w:adjustRightInd/>
        <w:spacing w:after="24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lastRenderedPageBreak/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F334B9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4166F15F" w:rsidR="00B96387" w:rsidRPr="00BF19BC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F19BC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F19BC" w:rsidRPr="00BF19BC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BF19BC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04685C5D" w14:textId="77777777" w:rsidR="00B96387" w:rsidRPr="00F334B9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F19BC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25469903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</w:p>
          <w:p w14:paraId="1F2CF002" w14:textId="77777777" w:rsidR="00BF19BC" w:rsidRDefault="00BF19BC" w:rsidP="00BF19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BTL zdravotnická technika, a.s.</w:t>
            </w:r>
          </w:p>
          <w:p w14:paraId="1A00420A" w14:textId="77777777" w:rsidR="00BF19BC" w:rsidRPr="00BF19BC" w:rsidRDefault="00BF19BC" w:rsidP="00BF1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F19BC">
              <w:rPr>
                <w:rFonts w:eastAsia="Times New Roman"/>
                <w:sz w:val="20"/>
                <w:szCs w:val="20"/>
                <w:lang w:eastAsia="cs-CZ"/>
              </w:rPr>
              <w:t>Ing. Radovan Sedlář</w:t>
            </w:r>
          </w:p>
          <w:p w14:paraId="549214E3" w14:textId="7044C866" w:rsidR="00B96387" w:rsidRPr="00F334B9" w:rsidRDefault="00BF19BC" w:rsidP="00BF19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</w:t>
            </w:r>
            <w:r w:rsidRPr="00BF19BC">
              <w:rPr>
                <w:rFonts w:eastAsia="Times New Roman"/>
                <w:sz w:val="20"/>
                <w:szCs w:val="20"/>
                <w:lang w:eastAsia="cs-CZ"/>
              </w:rPr>
              <w:t>rokurista společnosti</w:t>
            </w:r>
          </w:p>
        </w:tc>
        <w:tc>
          <w:tcPr>
            <w:tcW w:w="4606" w:type="dxa"/>
          </w:tcPr>
          <w:p w14:paraId="03383A49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2068D73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</w:p>
          <w:p w14:paraId="6ECD9DB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1152BA0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B5E89" w14:textId="77777777" w:rsidR="006C21E2" w:rsidRDefault="006C21E2">
      <w:r>
        <w:separator/>
      </w:r>
    </w:p>
  </w:endnote>
  <w:endnote w:type="continuationSeparator" w:id="0">
    <w:p w14:paraId="32A663D0" w14:textId="77777777" w:rsidR="006C21E2" w:rsidRDefault="006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D324F8">
      <w:fldChar w:fldCharType="begin"/>
    </w:r>
    <w:r w:rsidR="00D324F8">
      <w:instrText xml:space="preserve"> NUMPAGES  \* Arabic  \* MERGEFORMAT </w:instrText>
    </w:r>
    <w:r w:rsidR="00D324F8">
      <w:fldChar w:fldCharType="separate"/>
    </w:r>
    <w:r w:rsidR="00E232C6" w:rsidRPr="00E232C6">
      <w:rPr>
        <w:noProof/>
        <w:sz w:val="18"/>
      </w:rPr>
      <w:t>10</w:t>
    </w:r>
    <w:r w:rsidR="00D324F8">
      <w:rPr>
        <w:noProof/>
        <w:sz w:val="18"/>
      </w:rPr>
      <w:fldChar w:fldCharType="end"/>
    </w:r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05F83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B933" w14:textId="77777777" w:rsidR="006C21E2" w:rsidRDefault="006C21E2">
      <w:r>
        <w:separator/>
      </w:r>
    </w:p>
  </w:footnote>
  <w:footnote w:type="continuationSeparator" w:id="0">
    <w:p w14:paraId="2410F4EB" w14:textId="77777777" w:rsidR="006C21E2" w:rsidRDefault="006C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E99C936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941A4"/>
    <w:rsid w:val="000A145F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877C4"/>
    <w:rsid w:val="001924E4"/>
    <w:rsid w:val="00192646"/>
    <w:rsid w:val="001A76B3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243D"/>
    <w:rsid w:val="00302AB5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4AAE"/>
    <w:rsid w:val="00367AB2"/>
    <w:rsid w:val="003730D0"/>
    <w:rsid w:val="00374248"/>
    <w:rsid w:val="00380018"/>
    <w:rsid w:val="0038549C"/>
    <w:rsid w:val="00390F93"/>
    <w:rsid w:val="0039689D"/>
    <w:rsid w:val="00397B61"/>
    <w:rsid w:val="003A7704"/>
    <w:rsid w:val="003B099D"/>
    <w:rsid w:val="003B2CA0"/>
    <w:rsid w:val="003C5522"/>
    <w:rsid w:val="003D042E"/>
    <w:rsid w:val="003D07A9"/>
    <w:rsid w:val="003D4DF4"/>
    <w:rsid w:val="003D4F04"/>
    <w:rsid w:val="003D5C27"/>
    <w:rsid w:val="003E2620"/>
    <w:rsid w:val="003E3FFC"/>
    <w:rsid w:val="003F79F5"/>
    <w:rsid w:val="00400162"/>
    <w:rsid w:val="004136B8"/>
    <w:rsid w:val="004137AF"/>
    <w:rsid w:val="00414FB9"/>
    <w:rsid w:val="00415B20"/>
    <w:rsid w:val="00422462"/>
    <w:rsid w:val="00423F5A"/>
    <w:rsid w:val="0043063D"/>
    <w:rsid w:val="004309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CED"/>
    <w:rsid w:val="004B3A73"/>
    <w:rsid w:val="004B3C1D"/>
    <w:rsid w:val="004B48E4"/>
    <w:rsid w:val="004B5F72"/>
    <w:rsid w:val="004B6B28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66B59"/>
    <w:rsid w:val="005707EA"/>
    <w:rsid w:val="00576783"/>
    <w:rsid w:val="00577E71"/>
    <w:rsid w:val="00581809"/>
    <w:rsid w:val="00583855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0EF"/>
    <w:rsid w:val="006075A2"/>
    <w:rsid w:val="006079B8"/>
    <w:rsid w:val="00612A61"/>
    <w:rsid w:val="00614989"/>
    <w:rsid w:val="006224F9"/>
    <w:rsid w:val="00622759"/>
    <w:rsid w:val="0062355D"/>
    <w:rsid w:val="00623E0B"/>
    <w:rsid w:val="00626558"/>
    <w:rsid w:val="0062683B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76C8F"/>
    <w:rsid w:val="0068190F"/>
    <w:rsid w:val="006877BF"/>
    <w:rsid w:val="006A3D1E"/>
    <w:rsid w:val="006B16E2"/>
    <w:rsid w:val="006B4CAC"/>
    <w:rsid w:val="006B7F60"/>
    <w:rsid w:val="006C038C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6CDA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01F3"/>
    <w:rsid w:val="00742335"/>
    <w:rsid w:val="0074359C"/>
    <w:rsid w:val="007444F1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2ECF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1348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7CFC"/>
    <w:rsid w:val="008C1E92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5703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213D"/>
    <w:rsid w:val="009F3BFA"/>
    <w:rsid w:val="00A05A88"/>
    <w:rsid w:val="00A07F4B"/>
    <w:rsid w:val="00A1045E"/>
    <w:rsid w:val="00A14155"/>
    <w:rsid w:val="00A14F9F"/>
    <w:rsid w:val="00A15EF1"/>
    <w:rsid w:val="00A16116"/>
    <w:rsid w:val="00A23AD9"/>
    <w:rsid w:val="00A515BD"/>
    <w:rsid w:val="00A51B1A"/>
    <w:rsid w:val="00A5571E"/>
    <w:rsid w:val="00A5646D"/>
    <w:rsid w:val="00A57CF7"/>
    <w:rsid w:val="00A70AF4"/>
    <w:rsid w:val="00A715A7"/>
    <w:rsid w:val="00A716E9"/>
    <w:rsid w:val="00A73BAA"/>
    <w:rsid w:val="00A812E8"/>
    <w:rsid w:val="00A94520"/>
    <w:rsid w:val="00A94BF5"/>
    <w:rsid w:val="00A95CA1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D3CEE"/>
    <w:rsid w:val="00BD4A63"/>
    <w:rsid w:val="00BD61B6"/>
    <w:rsid w:val="00BE09F9"/>
    <w:rsid w:val="00BE25B7"/>
    <w:rsid w:val="00BE4B51"/>
    <w:rsid w:val="00BE5AED"/>
    <w:rsid w:val="00BF1136"/>
    <w:rsid w:val="00BF19BC"/>
    <w:rsid w:val="00BF2F7D"/>
    <w:rsid w:val="00BF6D27"/>
    <w:rsid w:val="00C00426"/>
    <w:rsid w:val="00C02B12"/>
    <w:rsid w:val="00C0305D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3861"/>
    <w:rsid w:val="00C46230"/>
    <w:rsid w:val="00C465CF"/>
    <w:rsid w:val="00C5245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6D39"/>
    <w:rsid w:val="00C87425"/>
    <w:rsid w:val="00C926C8"/>
    <w:rsid w:val="00C930EA"/>
    <w:rsid w:val="00CA0772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324F8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6719C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EF6B0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1309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2F23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727C-AD89-4B97-BCF8-43B4649C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2556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Kučera Ondřej | ONMB</cp:lastModifiedBy>
  <cp:revision>5</cp:revision>
  <cp:lastPrinted>2024-12-16T06:00:00Z</cp:lastPrinted>
  <dcterms:created xsi:type="dcterms:W3CDTF">2024-12-02T07:20:00Z</dcterms:created>
  <dcterms:modified xsi:type="dcterms:W3CDTF">2024-12-16T09:44:00Z</dcterms:modified>
</cp:coreProperties>
</file>