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2</w:t>
      </w:r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Prováděcí smlouva o dílo uzavřená na základě rámcové</w:t>
        <w:br/>
        <w:t>dohody na geodetické služby č. 1555/2023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804/2024 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„Okořínský vodovod – VT Srpina“ - geometrický plán pro zřízení věcného</w:t>
        <w:br/>
        <w:t>břemene a oddělení pozemků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2700" distB="0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2441575" cy="135318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1575" cy="1353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 sídlem: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 k podpisu smlouvy a k jednání o věcech smluvních: oprávněn jednat o věcech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700000000000003pt;margin-top:1.pt;width:192.25pt;height:106.55pt;z-index:-125829375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 sídlem: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 k podpisu smlouvy a k jednání o věcech smluvních: oprávněn jednat o věcech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700" distB="640080" distL="0" distR="0" simplePos="0" relativeHeight="12582938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12700</wp:posOffset>
                </wp:positionV>
                <wp:extent cx="2225040" cy="71310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25040" cy="713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bookmarkStart w:id="2" w:name="bookmark2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  <w:bookmarkEnd w:id="0"/>
                            <w:bookmarkEnd w:id="1"/>
                            <w:bookmarkEnd w:id="2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3" w:name="bookmark3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Bezručova 4219, 430 03 Chomutov 70889988</w:t>
                            </w:r>
                            <w:bookmarkEnd w:id="3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CZ70889988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67.69999999999999pt;margin-top:1.pt;width:175.20000000000002pt;height:56.149999999999999pt;z-index:-125829373;mso-wrap-distance-left:0;mso-wrap-distance-top:1.pt;mso-wrap-distance-right:0;mso-wrap-distance-bottom:50.399999999999999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bookmarkStart w:id="2" w:name="bookmark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  <w:bookmarkEnd w:id="0"/>
                      <w:bookmarkEnd w:id="1"/>
                      <w:bookmarkEnd w:id="2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Bezručova 4219, 430 03 Chomutov 70889988</w:t>
                      </w:r>
                      <w:bookmarkEnd w:id="3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CZ70889988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1286" w:left="1394" w:right="1399" w:bottom="2001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900" distB="16129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88900</wp:posOffset>
                </wp:positionV>
                <wp:extent cx="1393190" cy="22860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3190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objednatele: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.700000000000003pt;margin-top:7.pt;width:109.7pt;height:18.pt;z-index:-125829371;mso-wrap-distance-left:0;mso-wrap-distance-top:7.pt;mso-wrap-distance-right:0;mso-wrap-distance-bottom:12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50190" distB="0" distL="0" distR="0" simplePos="0" relativeHeight="125829384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250190</wp:posOffset>
                </wp:positionV>
                <wp:extent cx="1115695" cy="22860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manažer projektu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7.69999999999999pt;margin-top:19.699999999999999pt;width:87.850000000000009pt;height:18.pt;z-index:-125829369;mso-wrap-distance-left:0;mso-wrap-distance-top:19.69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manažer projektu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0" w:right="0" w:bottom="2001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202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130935" cy="38735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9.700000000000003pt;margin-top:1.pt;width:89.049999999999997pt;height:30.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 číslo účtu: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Komerční banka, a.s., pobočka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je zapsán v obchodním rejstříku Krajského soudu v Ústí nad 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77800" distB="0" distL="0" distR="0" simplePos="0" relativeHeight="12582938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177800</wp:posOffset>
                </wp:positionV>
                <wp:extent cx="1984375" cy="151511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4375" cy="15151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  <w:bookmarkEnd w:id="4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5" w:name="bookmark5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  <w:bookmarkEnd w:id="5"/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Statutární orgán: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Zástupce ve věcech smluvních: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IČO: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DIČ: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Bankovní spojení: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Číslo účtu.: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9.700000000000003pt;margin-top:14.pt;width:156.25pt;height:119.3pt;z-index:-125829365;mso-wrap-distance-left:0;mso-wrap-distance-top:14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  <w:bookmarkEnd w:id="4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  <w:bookmarkEnd w:id="5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Statutární orgán: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Zástupce ve věcech smluvních: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Bankovní spojení: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Číslo účtu.: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77800" distB="1125220" distL="0" distR="0" simplePos="0" relativeHeight="125829390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177800</wp:posOffset>
                </wp:positionV>
                <wp:extent cx="1889760" cy="38989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89760" cy="389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GEOVIA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Židovice 128, 411 83 Židovice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67.69999999999999pt;margin-top:14.pt;width:148.80000000000001pt;height:30.699999999999999pt;z-index:-125829363;mso-wrap-distance-left:0;mso-wrap-distance-top:14.pt;mso-wrap-distance-right:0;mso-wrap-distance-bottom:88.60000000000000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GEOVIA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Židovice 128, 411 83 Židovice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24230" distB="161290" distL="0" distR="0" simplePos="0" relativeHeight="125829392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824230</wp:posOffset>
                </wp:positionV>
                <wp:extent cx="951230" cy="70739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51230" cy="7073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27276554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CZ27276554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Fio banka a.s.,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67.69999999999999pt;margin-top:64.900000000000006pt;width:74.900000000000006pt;height:55.700000000000003pt;z-index:-125829361;mso-wrap-distance-left:0;mso-wrap-distance-top:64.900000000000006pt;mso-wrap-distance-right:0;mso-wrap-distance-bottom:12.7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27276554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CZ27276554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Fio banka a.s.,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je zapsána v obchodním rejstříku u Krajského soudu v Ústí nad Labem v oddílu C, vložce č. 22071.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3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286" w:left="1394" w:right="1399" w:bottom="200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 (společně dále jen „smluvní strany“)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336" w:lineRule="auto"/>
        <w:ind w:left="0" w:right="0" w:firstLine="64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2 k SoD 804/2024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této smlouvy, přičemž jejich zajištění je podmínkou pro řádné dokončení díla, se smluvní strany dohodly ve smyslu příslušných smluvních ustanovení na uzavření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 dodatek je žádáno z důvodu zpřesňování hranic věcného břemene a trvalých záborů na základě jednání s vlastníky dotčených pozemků.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60" w:line="32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Tímto dodatkem se mění Čl. II. Termíny plnění a to následovně: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center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II. TERMÍNY PLNĚNÍ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dle dodatku č.1: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440" w:line="276" w:lineRule="auto"/>
        <w:ind w:left="380" w:right="0" w:hanging="380"/>
        <w:jc w:val="both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Dílo bude ke kontrole předáno zhotovitelem objednateli elektronicky v termínu: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06.12.2024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Následně bude provedeno dopracování geometrických plánů a podání na katastrální úřad – předání ověřených geometrických plánů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19.12.2024.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08" w:val="left"/>
        </w:tabs>
        <w:bidi w:val="0"/>
        <w:spacing w:before="0" w:after="440" w:line="276" w:lineRule="auto"/>
        <w:ind w:left="380" w:right="0" w:hanging="38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Ověřený geometrický plán pro výkup pozemků bude zpracován a objednateli předán v tištěné podobě v počtu nezbytně nutném pro vklad do katastru nemovitostí a následné majetkoprávní vypořádání a 1x v elektronické podobě.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440" w:line="276" w:lineRule="auto"/>
        <w:ind w:left="380" w:right="0" w:hanging="38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Dílo bude ke kontrole předáno zhotovitelem objednateli elektronicky v termínu: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07.01.2025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. Následně bude provedeno dopracování geometrických plánů a podání na katastrální úřad – předání ověřených geometrických plánů do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31.01.2025.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8" w:val="left"/>
        </w:tabs>
        <w:bidi w:val="0"/>
        <w:spacing w:before="0" w:after="1400" w:line="276" w:lineRule="auto"/>
        <w:ind w:left="380" w:right="0" w:hanging="38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Ověřený geometrický plán pro výkup pozemků bude zpracován a objednateli předán v tištěné podobě v počtu nezbytně nutném pro vklad do katastru nemovitostí a následné majetkoprávní vypořádání a 1x v elektronické podobě.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8" w:val="left"/>
        </w:tabs>
        <w:bidi w:val="0"/>
        <w:spacing w:before="0" w:line="240" w:lineRule="auto"/>
        <w:ind w:left="0" w:right="0" w:firstLine="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8" w:val="left"/>
        </w:tabs>
        <w:bidi w:val="0"/>
        <w:spacing w:before="0" w:line="240" w:lineRule="auto"/>
        <w:ind w:left="380" w:right="0" w:hanging="38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Dodatek je vyhotoven ve dvou vyhotoveních, z nichž každé má platnost originálu.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8" w:val="left"/>
        </w:tabs>
        <w:bidi w:val="0"/>
        <w:spacing w:before="0" w:after="32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9" w:h="16838"/>
          <w:pgMar w:top="657" w:left="1394" w:right="1389" w:bottom="1420" w:header="0" w:footer="3" w:gutter="0"/>
          <w:cols w:space="720"/>
          <w:noEndnote/>
          <w:rtlGutter w:val="0"/>
          <w:docGrid w:linePitch="360"/>
        </w:sectPr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27" w:val="left"/>
        </w:tabs>
        <w:bidi w:val="0"/>
        <w:spacing w:before="0" w:after="960" w:line="240" w:lineRule="auto"/>
        <w:ind w:left="440" w:right="0" w:hanging="440"/>
        <w:jc w:val="left"/>
      </w:pPr>
      <w:bookmarkStart w:id="16" w:name="bookmark16"/>
      <w:bookmarkEnd w:id="1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480" w:line="480" w:lineRule="auto"/>
        <w:ind w:left="1540" w:right="0" w:firstLine="0"/>
        <w:jc w:val="right"/>
      </w:pPr>
      <w: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2045335" cy="688975"/>
                <wp:wrapSquare wrapText="bothSides"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5335" cy="6889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48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 …………… oprávněný zástupce objednatele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69.700000000000003pt;margin-top:1.pt;width:161.05000000000001pt;height:54.25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48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 …………… oprávněný zástupce 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Roudnici nad Labem dne………………. oprávněný zástupce zhotovitele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920750" cy="387350"/>
                <wp:wrapSquare wrapText="left"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2075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GEOVIA s.r.o.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17.40000000000003pt;margin-top:1.pt;width:72.5pt;height:30.5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GEOVIA s.r.o.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investiční ředitel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sectPr>
      <w:footnotePr>
        <w:pos w:val="pageBottom"/>
        <w:numFmt w:val="decimal"/>
        <w:numRestart w:val="continuous"/>
      </w:footnotePr>
      <w:pgSz w:w="11909" w:h="16838"/>
      <w:pgMar w:top="1536" w:left="1394" w:right="1394" w:bottom="1536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71.69999999999999pt;margin-top:770.85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5006340</wp:posOffset>
              </wp:positionH>
              <wp:positionV relativeFrom="page">
                <wp:posOffset>435610</wp:posOffset>
              </wp:positionV>
              <wp:extent cx="1654810" cy="1739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4810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2 k SoD 804/2024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94.19999999999999pt;margin-top:34.300000000000004pt;width:130.30000000000001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2 k SoD 804/2024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Char Style 15"/>
    <w:basedOn w:val="DefaultParagraphFont"/>
    <w:link w:val="Style1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47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  <w:spacing w:line="214" w:lineRule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8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>S M L O U V A   O   D Í L O</dc:title>
  <dc:subject/>
  <dc:creator>RMiskovska</dc:creator>
  <cp:keywords/>
</cp:coreProperties>
</file>