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1138/2024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Lomnický potok-ÚBP v Březové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524" w:bottom="2099" w:header="647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before="81" w:after="8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0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 generální ředitel ředitel závodu Karlovy Vary vedoucí úseku Karlovy Vary 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3050" w:bottom="2099" w:header="0" w:footer="3" w:gutter="0"/>
          <w:cols w:num="2" w:space="44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úseku Karlovy Vary</w:t>
      </w:r>
    </w:p>
    <w:p>
      <w:pPr>
        <w:widowControl w:val="0"/>
        <w:spacing w:line="156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1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3515360</wp:posOffset>
                </wp:positionH>
                <wp:positionV relativeFrom="paragraph">
                  <wp:posOffset>12700</wp:posOffset>
                </wp:positionV>
                <wp:extent cx="3166745" cy="2286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674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obchodním rejstříku Krajského soudu v Ústí nad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6.80000000000001pt;margin-top:1.pt;width:249.34999999999999pt;height:18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obchodním rejstříku Krajského soudu v Ústí nad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Labem v oddílu A, vložce č. 13052</w:t>
      </w:r>
    </w:p>
    <w:tbl>
      <w:tblPr>
        <w:tblOverlap w:val="never"/>
        <w:jc w:val="center"/>
        <w:tblLayout w:type="fixed"/>
      </w:tblPr>
      <w:tblGrid>
        <w:gridCol w:w="4142"/>
        <w:gridCol w:w="4498"/>
      </w:tblGrid>
      <w:tr>
        <w:trPr>
          <w:trHeight w:val="20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 oprávněn(i) jednat o věcech smluvních: oprávněn(i) jednat o věcech technických: osoba odpovědná za provedení díla: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Jana Chvojková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9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Tř. Osvoboditelů 895, 357 31 Horní Slavkov tel.: e-mail:</w:t>
            </w:r>
          </w:p>
        </w:tc>
      </w:tr>
      <w:tr>
        <w:trPr>
          <w:trHeight w:val="115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64191613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Nejsem plátce DPH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živnostenském rejstříku: ŽL vydaný v Mar. Lázních . pod e. č. ZIV/21/387/JS (dále jen „zhotovitel“)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6"/>
      <w:bookmarkEnd w:id="7"/>
      <w:bookmarkEnd w:id="8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bookmarkStart w:id="7" w:name="bookmark7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 Objednatel</w:t>
      </w:r>
      <w:bookmarkEnd w:id="6"/>
      <w:bookmarkEnd w:id="7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zástupce ve věcech technických.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 III. CENA odstavec 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není plátce DPH. K odkupu dřevní hmoty náleží připočtení platné sazby DPH. Tato změna závazku ze smlouvy nemění celkovou povahu veřejné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se zhotovitelem a bylo domluveno vyhotovení dodatku ke smlouvě 1138/2024.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0"/>
      <w:bookmarkEnd w:id="11"/>
      <w:bookmarkEnd w:id="1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0" w:name="bookmark10"/>
      <w:bookmarkStart w:id="11" w:name="bookmark11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bookmarkEnd w:id="10"/>
      <w:bookmarkEnd w:id="11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 vedoucí úseku Karlovy Vary, tel.:, e-mail: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technických:, vedoucí úseku Karlovy Vary, tel.:, e-mail: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odstavec 3.</w:t>
      </w:r>
      <w:bookmarkEnd w:id="14"/>
      <w:bookmarkEnd w:id="15"/>
      <w:bookmarkEnd w:id="1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</w:t>
        <w:tab/>
        <w:t>105 709,50 Kč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stopěttisícsedmsetdevětkorunapadesáthaléřů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odkup dřevní hmoty: Vytěženou dřevní hmotu odkoupí Zhotovitel od objednatele za cenu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25 830 Kč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</w:t>
        <w:tab/>
        <w:t>105 709,50 Kč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stopěttisícsedmsetdevětkorunapadesáthaléřů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odkup dřevní hmoty: Vytěženou dřevní hmotu odkoupí Zhotovitel od objednatele za cenu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25 830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K ceně bude připočtena DPH dle platné sazby DPH. Úhrada za odkup dřevní hmoty bude provedena vzájemným zápočtem dokladů při fakturaci prací zhotovitelem.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1138/2024 se nemění. Smluvní strany nepovažují žádné ustanovení smlouvy za obchodní tajemství.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17"/>
      <w:bookmarkEnd w:id="18"/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 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1" w:left="1367" w:right="1407" w:bottom="1286" w:header="65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194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43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13.12.2024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1668" w:bottom="4317" w:header="0" w:footer="3" w:gutter="0"/>
          <w:cols w:num="2" w:space="123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11.12.2024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3614420</wp:posOffset>
                </wp:positionH>
                <wp:positionV relativeFrom="paragraph">
                  <wp:posOffset>12700</wp:posOffset>
                </wp:positionV>
                <wp:extent cx="126809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Bc. Jana Chvojková 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4.60000000000002pt;margin-top:1.pt;width:99.850000000000009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Bc. Jana Chvojková 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89" w:right="6194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9999999999999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4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