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1271/2024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R65 hydraulický systém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2231390" cy="203327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31390" cy="20332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 zástupce ve věcech smluvních: zástupce ve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technický dozor investora: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50000000000006pt;margin-top:1.pt;width:175.70000000000002pt;height:160.09999999999999pt;z-index:-12582937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 zástupce ve věcech smluvních: zástupce ve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technický dozor investora: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1000125" distL="0" distR="0" simplePos="0" relativeHeight="125829380" behindDoc="0" locked="0" layoutInCell="1" allowOverlap="1">
                <wp:simplePos x="0" y="0"/>
                <wp:positionH relativeFrom="page">
                  <wp:posOffset>3399155</wp:posOffset>
                </wp:positionH>
                <wp:positionV relativeFrom="paragraph">
                  <wp:posOffset>12700</wp:posOffset>
                </wp:positionV>
                <wp:extent cx="2225040" cy="10331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1033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 generálním ředitelem ředitel závodu Karlovy Vary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4999999999998pt;margin-top:1.pt;width:175.20000000000002pt;height:81.350000000000009pt;z-index:-125829373;mso-wrap-distance-left:0;mso-wrap-distance-top:1.pt;mso-wrap-distance-right:0;mso-wrap-distance-bottom:78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 generálním ředitelem ředitel závodu Karlovy Vary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0"/>
      <w:bookmarkEnd w:id="1"/>
      <w:bookmarkEnd w:id="2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  <w:bookmarkEnd w:id="6"/>
      <w:bookmarkEnd w:id="7"/>
      <w:bookmarkEnd w:id="8"/>
    </w:p>
    <w:p>
      <w:pPr>
        <w:pStyle w:val="Style7"/>
        <w:keepNext/>
        <w:keepLines/>
        <w:widowControl w:val="0"/>
        <w:shd w:val="clear" w:color="auto" w:fill="auto"/>
        <w:tabs>
          <w:tab w:pos="4920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V. Volfa 1378/19, 370 05, České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8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Budějovice – České Budějovice 2 oprávněn(i) k podpisu smlouvy: oprávněn(i) jednat o věcech smluvních: oprávněn(i) jednat o věcech technických:</w:t>
      </w:r>
      <w:bookmarkEnd w:id="12"/>
      <w:bookmarkEnd w:id="13"/>
    </w:p>
    <w:p>
      <w:pPr>
        <w:pStyle w:val="Style2"/>
        <w:keepNext w:val="0"/>
        <w:keepLines w:val="0"/>
        <w:widowControl w:val="0"/>
        <w:shd w:val="clear" w:color="auto" w:fill="auto"/>
        <w:tabs>
          <w:tab w:pos="4920" w:val="left"/>
        </w:tabs>
        <w:bidi w:val="0"/>
        <w:spacing w:before="0" w:after="0" w:line="240" w:lineRule="auto"/>
        <w:ind w:left="0" w:right="0" w:firstLine="0"/>
        <w:jc w:val="both"/>
      </w:pPr>
      <w:bookmarkStart w:id="14" w:name="bookmark14"/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88015769</w:t>
      </w:r>
      <w:bookmarkEnd w:id="14"/>
      <w:bookmarkEnd w:id="15"/>
      <w:bookmarkEnd w:id="16"/>
    </w:p>
    <w:p>
      <w:pPr>
        <w:pStyle w:val="Style7"/>
        <w:keepNext/>
        <w:keepLines/>
        <w:widowControl w:val="0"/>
        <w:shd w:val="clear" w:color="auto" w:fill="auto"/>
        <w:tabs>
          <w:tab w:pos="4920" w:val="left"/>
        </w:tabs>
        <w:bidi w:val="0"/>
        <w:spacing w:before="0" w:after="0" w:line="240" w:lineRule="auto"/>
        <w:ind w:left="0" w:right="0" w:firstLine="0"/>
        <w:jc w:val="both"/>
      </w:pPr>
      <w:bookmarkStart w:id="17" w:name="bookmark17"/>
      <w:bookmarkStart w:id="18" w:name="bookmark18"/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</w:t>
      </w:r>
      <w:bookmarkEnd w:id="17"/>
      <w:bookmarkEnd w:id="18"/>
      <w:bookmarkEnd w:id="19"/>
      <w:bookmarkEnd w:id="20"/>
      <w:bookmarkEnd w:id="2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22" w:name="bookmark22"/>
      <w:bookmarkStart w:id="23" w:name="bookmark23"/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22"/>
      <w:bookmarkEnd w:id="23"/>
      <w:bookmarkEnd w:id="24"/>
      <w:bookmarkEnd w:id="25"/>
      <w:bookmarkEnd w:id="26"/>
    </w:p>
    <w:p>
      <w:pPr>
        <w:pStyle w:val="Style7"/>
        <w:keepNext/>
        <w:keepLines/>
        <w:widowControl w:val="0"/>
        <w:shd w:val="clear" w:color="auto" w:fill="auto"/>
        <w:tabs>
          <w:tab w:pos="4920" w:val="left"/>
        </w:tabs>
        <w:bidi w:val="0"/>
        <w:spacing w:before="0" w:after="0" w:line="240" w:lineRule="auto"/>
        <w:ind w:left="0" w:right="0" w:firstLine="0"/>
        <w:jc w:val="both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  <w:tab/>
        <w:t>zápis v živnostenském rejstříku:</w:t>
      </w:r>
      <w:bookmarkEnd w:id="27"/>
      <w:bookmarkEnd w:id="28"/>
      <w:bookmarkEnd w:id="29"/>
    </w:p>
    <w:p>
      <w:pPr>
        <w:pStyle w:val="Style2"/>
        <w:keepNext w:val="0"/>
        <w:keepLines w:val="0"/>
        <w:widowControl w:val="0"/>
        <w:shd w:val="clear" w:color="auto" w:fill="auto"/>
        <w:tabs>
          <w:tab w:pos="2827" w:val="left"/>
        </w:tabs>
        <w:bidi w:val="0"/>
        <w:spacing w:before="0" w:after="0" w:line="240" w:lineRule="auto"/>
        <w:ind w:left="0" w:right="0" w:firstLine="2860"/>
        <w:jc w:val="both"/>
      </w:pPr>
      <w:bookmarkStart w:id="30" w:name="bookmark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ŽL vydaný dne 25.7.2011 Magistrátem města Liberec, živnostenský odbor, pod č.j. ZU MML/8443/11/Sko/3, sp. zn. ZU MML/8443/11/Sko tel.:</w:t>
        <w:tab/>
        <w:t>e-mail:</w:t>
      </w:r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31"/>
      <w:bookmarkEnd w:id="3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změnu: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line="240" w:lineRule="auto"/>
        <w:ind w:left="740" w:right="0" w:hanging="360"/>
        <w:jc w:val="both"/>
      </w:pPr>
      <w:bookmarkStart w:id="33" w:name="bookmark33"/>
      <w:bookmarkEnd w:id="3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Změnu předmětu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rozsahu cenové kalkulace, která je přílohou tohoto dodatku (příloha č. 1 - Cenový rozvrh opravy nad rámec uzavřené smlouvy).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740" w:right="0" w:hanging="360"/>
        <w:jc w:val="both"/>
      </w:pPr>
      <w:bookmarkStart w:id="34" w:name="bookmark34"/>
      <w:bookmarkEnd w:id="3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Změnu ceny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důvodu nutnosti zajištění nezbytných dodatečných oprav. Tuto skutečnost zjistil objednatel před převzetím opravovaného stroje zhotovitelem. Zhotovitel byl na tuto skutečnost upozorněn a požádán o vypracování nálezové zprávy a cenové kalkulace. Cenová kalkulace je součástí přílohy č. 1 tohoto dodatku - Cenový rozvrh opravy nad rámec uzavřené smlouvy. Jedná se o navýšení ceny o 157 200 Kč.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line="240" w:lineRule="auto"/>
        <w:ind w:left="0" w:right="0" w:firstLine="380"/>
        <w:jc w:val="left"/>
      </w:pPr>
      <w:bookmarkStart w:id="35" w:name="bookmark35"/>
      <w:bookmarkEnd w:id="3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předání a převzetí dokončeného díla.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line="240" w:lineRule="auto"/>
        <w:ind w:left="0" w:right="0" w:firstLine="380"/>
        <w:jc w:val="both"/>
      </w:pPr>
      <w:bookmarkStart w:id="36" w:name="bookmark36"/>
      <w:bookmarkEnd w:id="3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I, odst.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veřejné zakázky je provedení opravy kráčejícího rypadla Euromach R65. Jedná se o opravu hydraulického systému, výměnu hadic a potrubí na manipulačním rameni, přetěsnění pístnice výsuvu ramena a výměnu kamenného drapáku o velikosti SG12 s adaptérem QS 45 na upínací hlavu EC 10 (bez rotátoru) (dále jen jako „opravovaný stroj“). Zhotovitel se zavazuje provést výše uvedené dílo v rozsahu cenové nabídky, která tvoří přílohu č. 1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Předmětem veřejné zakázky je provedení opravy kráčejícího rypadla Euromach R65. Jedná se o opravu hydraulického systému, výměnu hadic a potrubí na manipulačním rameni, přetěsnění pístnice výsuvu ramena, výměnu kamenného drapáku o velikosti SG12 s adaptérem QS 45 na upínací hlavu EC 10 (bez rotátoru) 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opravu přepákování rychloupínací hlavy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jako „opravovaný stroj“).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výše uvedené dílo v rozsahu cenové nabídky, která tvoří přílohu č. 1 této smlouvy 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č. 1 dodatku č. 1 k této smlouvě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line="240" w:lineRule="auto"/>
        <w:ind w:left="0" w:right="0" w:firstLine="380"/>
        <w:jc w:val="both"/>
      </w:pPr>
      <w:bookmarkStart w:id="37" w:name="bookmark37"/>
      <w:bookmarkEnd w:id="3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ceny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III, odst.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 díla bez DPH 450 885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Slovy čtyřistapadesáttisícosmsetosmdesátpět korun českých.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souhlasí s tím, že proplatí zhotoviteli jako protihodnotu za provedení díla částku: Celková smluvní cena díla bez DPH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608 085 Kč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Slovy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šestsetosmtisícosmdesátpět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korun českých.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line="240" w:lineRule="auto"/>
        <w:ind w:left="0" w:right="0" w:firstLine="380"/>
        <w:jc w:val="both"/>
      </w:pPr>
      <w:bookmarkStart w:id="38" w:name="bookmark38"/>
      <w:bookmarkEnd w:id="3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termínu předání a převzetí dokončeného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II, odst. 1, písm. c)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20.12.2024.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31.12.2024.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1271/2024 se nemění. 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OCHRANA A ZPRACOVÁNÍ OSOBNÍCH ÚDAJŮ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 udaju/d-1369/p1=1459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ke smlouvě je vyhotoven ve dvou vyhotoveních, z nichž každé má platnost originálu. 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Cenový rozvrh opravy nad rámec uzavřené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1423" w:left="1391" w:right="1383" w:bottom="1425" w:header="995" w:footer="99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5418455</wp:posOffset>
                </wp:positionH>
                <wp:positionV relativeFrom="paragraph">
                  <wp:posOffset>12700</wp:posOffset>
                </wp:positionV>
                <wp:extent cx="1146175" cy="22542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61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dne……………….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6.65000000000003pt;margin-top:1.pt;width:90.25pt;height:1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dne……………….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……………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617" w:left="1395" w:right="2421" w:bottom="11857" w:header="1189" w:footer="11429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7" w:left="0" w:right="0" w:bottom="161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12700</wp:posOffset>
                </wp:positionV>
                <wp:extent cx="624840" cy="22860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484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15000000000003pt;margin-top:1.pt;width:49.200000000000003pt;height:18.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17" w:left="1395" w:right="6266" w:bottom="161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6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Nikola Chudáčiková</dc:creator>
  <cp:keywords/>
</cp:coreProperties>
</file>