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486"/>
        <w:gridCol w:w="4582"/>
      </w:tblGrid>
      <w:tr w:rsidR="0030100D" w:rsidRPr="00B06D8C" w:rsidTr="00B06D8C">
        <w:tc>
          <w:tcPr>
            <w:tcW w:w="4889" w:type="dxa"/>
            <w:tcBorders>
              <w:right w:val="single" w:sz="4" w:space="0" w:color="auto"/>
            </w:tcBorders>
          </w:tcPr>
          <w:p w:rsidR="0030100D" w:rsidRPr="00B06D8C" w:rsidRDefault="0030100D" w:rsidP="00510103">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30100D" w:rsidRPr="00B06D8C" w:rsidRDefault="007C7D9C" w:rsidP="00510103">
            <w:pPr>
              <w:spacing w:before="120" w:after="120"/>
              <w:rPr>
                <w:rFonts w:cs="Arial"/>
                <w:b/>
              </w:rPr>
            </w:pPr>
            <w:bookmarkStart w:id="0" w:name="registr_1"/>
            <w:bookmarkEnd w:id="0"/>
            <w:r>
              <w:rPr>
                <w:rFonts w:cs="Arial"/>
                <w:b/>
              </w:rPr>
              <w:t>99017949454</w:t>
            </w:r>
          </w:p>
        </w:tc>
      </w:tr>
      <w:tr w:rsidR="0030100D" w:rsidRPr="00B06D8C" w:rsidTr="00B06D8C">
        <w:tc>
          <w:tcPr>
            <w:tcW w:w="4889" w:type="dxa"/>
          </w:tcPr>
          <w:p w:rsidR="0030100D" w:rsidRPr="00B06D8C" w:rsidRDefault="0030100D" w:rsidP="00510103">
            <w:pPr>
              <w:spacing w:before="40"/>
              <w:rPr>
                <w:rFonts w:cs="Arial"/>
                <w:sz w:val="16"/>
                <w:szCs w:val="16"/>
              </w:rPr>
            </w:pPr>
          </w:p>
        </w:tc>
        <w:tc>
          <w:tcPr>
            <w:tcW w:w="4890" w:type="dxa"/>
            <w:tcBorders>
              <w:top w:val="single" w:sz="4" w:space="0" w:color="auto"/>
            </w:tcBorders>
          </w:tcPr>
          <w:p w:rsidR="0030100D" w:rsidRPr="00B06D8C" w:rsidRDefault="0030100D" w:rsidP="00510103">
            <w:pPr>
              <w:spacing w:before="40"/>
              <w:rPr>
                <w:rFonts w:cs="Arial"/>
                <w:sz w:val="16"/>
                <w:szCs w:val="16"/>
              </w:rPr>
            </w:pPr>
            <w:r w:rsidRPr="00B06D8C">
              <w:rPr>
                <w:rFonts w:cs="Arial"/>
                <w:sz w:val="16"/>
                <w:szCs w:val="16"/>
              </w:rPr>
              <w:t>registrační číslo</w:t>
            </w:r>
          </w:p>
        </w:tc>
      </w:tr>
    </w:tbl>
    <w:p w:rsidR="00530170" w:rsidRPr="008C4B06" w:rsidRDefault="00530170" w:rsidP="00510103">
      <w:pPr>
        <w:rPr>
          <w:rFonts w:cs="Arial"/>
        </w:rPr>
      </w:pPr>
    </w:p>
    <w:p w:rsidR="0030100D" w:rsidRPr="008C4B06" w:rsidRDefault="00570D03" w:rsidP="00510103">
      <w:pPr>
        <w:rPr>
          <w:rFonts w:cs="Arial"/>
        </w:rPr>
      </w:pPr>
      <w:r w:rsidRPr="008C4B06">
        <w:rPr>
          <w:rFonts w:cs="Arial"/>
          <w:b/>
          <w:bCs/>
        </w:rPr>
        <w:t>Komerční banka, a.s.</w:t>
      </w:r>
      <w:r w:rsidRPr="008C4B06">
        <w:rPr>
          <w:rFonts w:cs="Arial"/>
          <w:szCs w:val="18"/>
        </w:rPr>
        <w:t>, se sídlem Praha 1, Na Příkopě 33 čp. 969, PSČ 114 07, IČ</w:t>
      </w:r>
      <w:r w:rsidR="0061091A">
        <w:rPr>
          <w:rFonts w:cs="Arial"/>
          <w:szCs w:val="18"/>
        </w:rPr>
        <w:t>O</w:t>
      </w:r>
      <w:r w:rsidRPr="008C4B06">
        <w:rPr>
          <w:rFonts w:cs="Arial"/>
          <w:szCs w:val="18"/>
        </w:rPr>
        <w:t>: 45317054, zapsaná v obchodním rejstříku vedeném Městským soudem v Praze, oddíl B, vložka 1360</w:t>
      </w:r>
      <w:bookmarkStart w:id="1" w:name="_DV_M1"/>
      <w:bookmarkEnd w:id="1"/>
      <w:r w:rsidRPr="008C4B06">
        <w:rPr>
          <w:rFonts w:cs="Arial"/>
          <w:szCs w:val="18"/>
        </w:rPr>
        <w:t xml:space="preserve"> (dále jen</w:t>
      </w:r>
      <w:bookmarkStart w:id="2" w:name="_DV_C14"/>
      <w:r w:rsidRPr="008C4B06">
        <w:rPr>
          <w:rFonts w:cs="Arial"/>
        </w:rPr>
        <w:t xml:space="preserve"> „</w:t>
      </w:r>
      <w:r w:rsidRPr="008C4B06">
        <w:rPr>
          <w:rFonts w:cs="Arial"/>
          <w:b/>
          <w:bCs/>
        </w:rPr>
        <w:t>Banka</w:t>
      </w:r>
      <w:r w:rsidRPr="008C4B06">
        <w:rPr>
          <w:rFonts w:cs="Arial"/>
        </w:rPr>
        <w:t>“</w:t>
      </w:r>
      <w:bookmarkStart w:id="3" w:name="_DV_M2"/>
      <w:bookmarkStart w:id="4" w:name="_DV_M3"/>
      <w:bookmarkEnd w:id="2"/>
      <w:bookmarkEnd w:id="3"/>
      <w:bookmarkEnd w:id="4"/>
      <w:r w:rsidRPr="008C4B06">
        <w:rPr>
          <w:rFonts w:cs="Arial"/>
          <w:szCs w:val="18"/>
        </w:rPr>
        <w:t>)</w:t>
      </w:r>
    </w:p>
    <w:p w:rsidR="0030100D" w:rsidRPr="008C4B06" w:rsidRDefault="0030100D" w:rsidP="00510103">
      <w:pPr>
        <w:rPr>
          <w:rFonts w:cs="Arial"/>
        </w:rPr>
      </w:pPr>
    </w:p>
    <w:p w:rsidR="00570D03" w:rsidRPr="008C4B06" w:rsidRDefault="00570D03" w:rsidP="00510103">
      <w:pPr>
        <w:rPr>
          <w:rFonts w:cs="Arial"/>
        </w:rPr>
      </w:pPr>
      <w:r w:rsidRPr="008C4B06">
        <w:rPr>
          <w:rFonts w:cs="Arial"/>
        </w:rPr>
        <w:t>a</w:t>
      </w:r>
    </w:p>
    <w:p w:rsidR="0030100D" w:rsidRPr="008C4B06" w:rsidRDefault="0030100D" w:rsidP="00510103">
      <w:pPr>
        <w:rPr>
          <w:rFonts w:cs="Arial"/>
        </w:rPr>
      </w:pPr>
    </w:p>
    <w:p w:rsidR="007C7D9C" w:rsidRDefault="007C7D9C" w:rsidP="00510103">
      <w:bookmarkStart w:id="5" w:name="hlava"/>
      <w:bookmarkEnd w:id="5"/>
      <w:r>
        <w:rPr>
          <w:b/>
        </w:rPr>
        <w:t>právnická osoba</w:t>
      </w:r>
      <w:r>
        <w:t xml:space="preserve"> (dále jen „</w:t>
      </w:r>
      <w:bookmarkStart w:id="6" w:name="hlava_osoba"/>
      <w:r w:rsidRPr="0040150E">
        <w:rPr>
          <w:b/>
        </w:rPr>
        <w:t>Klient</w:t>
      </w:r>
      <w:bookmarkEnd w:id="6"/>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637"/>
        <w:gridCol w:w="6426"/>
      </w:tblGrid>
      <w:tr w:rsidR="007C7D9C" w:rsidTr="00F60B34">
        <w:tc>
          <w:tcPr>
            <w:tcW w:w="2802" w:type="dxa"/>
            <w:shd w:val="clear" w:color="auto" w:fill="auto"/>
            <w:vAlign w:val="center"/>
          </w:tcPr>
          <w:p w:rsidR="007C7D9C" w:rsidRDefault="007C7D9C" w:rsidP="00510103">
            <w:pPr>
              <w:spacing w:before="40" w:after="40"/>
            </w:pPr>
            <w:r w:rsidRPr="00F60B34">
              <w:rPr>
                <w:sz w:val="16"/>
              </w:rPr>
              <w:t>Obchodní firma* / název**:</w:t>
            </w:r>
          </w:p>
        </w:tc>
        <w:tc>
          <w:tcPr>
            <w:tcW w:w="6977" w:type="dxa"/>
            <w:shd w:val="clear" w:color="auto" w:fill="auto"/>
            <w:vAlign w:val="center"/>
          </w:tcPr>
          <w:p w:rsidR="007C7D9C" w:rsidRPr="00F60B34" w:rsidRDefault="007C7D9C" w:rsidP="00510103">
            <w:pPr>
              <w:spacing w:before="40" w:after="40"/>
              <w:rPr>
                <w:b/>
              </w:rPr>
            </w:pPr>
            <w:bookmarkStart w:id="7" w:name="jmpo"/>
            <w:bookmarkEnd w:id="7"/>
            <w:r w:rsidRPr="00F60B34">
              <w:rPr>
                <w:b/>
              </w:rPr>
              <w:t>VESBYT S.R.O.</w:t>
            </w:r>
          </w:p>
        </w:tc>
      </w:tr>
      <w:tr w:rsidR="007C7D9C" w:rsidTr="00F60B34">
        <w:tc>
          <w:tcPr>
            <w:tcW w:w="2802" w:type="dxa"/>
            <w:shd w:val="clear" w:color="auto" w:fill="auto"/>
            <w:vAlign w:val="center"/>
          </w:tcPr>
          <w:p w:rsidR="007C7D9C" w:rsidRDefault="007C7D9C" w:rsidP="00510103">
            <w:pPr>
              <w:spacing w:before="40" w:after="40"/>
            </w:pPr>
            <w:r w:rsidRPr="00F60B34">
              <w:rPr>
                <w:sz w:val="16"/>
              </w:rPr>
              <w:t>Sídlo:</w:t>
            </w:r>
          </w:p>
        </w:tc>
        <w:tc>
          <w:tcPr>
            <w:tcW w:w="6977" w:type="dxa"/>
            <w:shd w:val="clear" w:color="auto" w:fill="auto"/>
            <w:vAlign w:val="center"/>
          </w:tcPr>
          <w:p w:rsidR="007C7D9C" w:rsidRPr="00F60B34" w:rsidRDefault="007C7D9C" w:rsidP="00510103">
            <w:pPr>
              <w:spacing w:before="40" w:after="40"/>
              <w:rPr>
                <w:b/>
              </w:rPr>
            </w:pPr>
            <w:bookmarkStart w:id="8" w:name="sidlopo1"/>
            <w:bookmarkEnd w:id="8"/>
            <w:r w:rsidRPr="00F60B34">
              <w:rPr>
                <w:b/>
              </w:rPr>
              <w:t>BLATNICKÁ 1527, 698 01 VESELÍ NAD MORAVOU, CZ</w:t>
            </w:r>
          </w:p>
        </w:tc>
      </w:tr>
      <w:tr w:rsidR="007C7D9C" w:rsidTr="00F60B34">
        <w:tc>
          <w:tcPr>
            <w:tcW w:w="2802" w:type="dxa"/>
            <w:shd w:val="clear" w:color="auto" w:fill="auto"/>
            <w:vAlign w:val="center"/>
          </w:tcPr>
          <w:p w:rsidR="007C7D9C" w:rsidRDefault="007C7D9C" w:rsidP="00510103">
            <w:pPr>
              <w:spacing w:before="40" w:after="40"/>
            </w:pPr>
            <w:r w:rsidRPr="00F60B34">
              <w:rPr>
                <w:sz w:val="16"/>
              </w:rPr>
              <w:t>IČO:</w:t>
            </w:r>
          </w:p>
        </w:tc>
        <w:tc>
          <w:tcPr>
            <w:tcW w:w="6977" w:type="dxa"/>
            <w:shd w:val="clear" w:color="auto" w:fill="auto"/>
            <w:vAlign w:val="center"/>
          </w:tcPr>
          <w:p w:rsidR="007C7D9C" w:rsidRPr="00F60B34" w:rsidRDefault="007C7D9C" w:rsidP="00510103">
            <w:pPr>
              <w:spacing w:before="40" w:after="40"/>
              <w:rPr>
                <w:b/>
              </w:rPr>
            </w:pPr>
            <w:bookmarkStart w:id="9" w:name="icopo"/>
            <w:bookmarkEnd w:id="9"/>
            <w:r w:rsidRPr="00F60B34">
              <w:rPr>
                <w:b/>
              </w:rPr>
              <w:t>63494876</w:t>
            </w:r>
          </w:p>
        </w:tc>
      </w:tr>
      <w:tr w:rsidR="007C7D9C" w:rsidTr="00F60B34">
        <w:tc>
          <w:tcPr>
            <w:tcW w:w="2802" w:type="dxa"/>
            <w:shd w:val="clear" w:color="auto" w:fill="auto"/>
            <w:vAlign w:val="center"/>
          </w:tcPr>
          <w:p w:rsidR="007C7D9C" w:rsidRDefault="007C7D9C" w:rsidP="00510103">
            <w:pPr>
              <w:spacing w:before="40" w:after="40"/>
            </w:pPr>
            <w:r w:rsidRPr="00F60B34">
              <w:rPr>
                <w:sz w:val="16"/>
              </w:rPr>
              <w:t>Zápis v obchodním rejstříku či jiné evidenci, včetně spisové značky:</w:t>
            </w:r>
          </w:p>
        </w:tc>
        <w:tc>
          <w:tcPr>
            <w:tcW w:w="6977" w:type="dxa"/>
            <w:shd w:val="clear" w:color="auto" w:fill="auto"/>
            <w:vAlign w:val="center"/>
          </w:tcPr>
          <w:p w:rsidR="007C7D9C" w:rsidRPr="00F60B34" w:rsidRDefault="007C7D9C" w:rsidP="00510103">
            <w:pPr>
              <w:spacing w:before="40" w:after="40"/>
              <w:rPr>
                <w:b/>
              </w:rPr>
            </w:pPr>
            <w:bookmarkStart w:id="10" w:name="spis"/>
            <w:bookmarkEnd w:id="10"/>
            <w:r w:rsidRPr="00F60B34">
              <w:rPr>
                <w:b/>
              </w:rPr>
              <w:t>Výpis z obchodního rejstříku, vedeného Krajským soudem v Brně oddíl C, vložka 22270</w:t>
            </w:r>
          </w:p>
        </w:tc>
      </w:tr>
    </w:tbl>
    <w:p w:rsidR="007C7D9C" w:rsidRDefault="007C7D9C" w:rsidP="00510103">
      <w:pPr>
        <w:rPr>
          <w:sz w:val="16"/>
        </w:rPr>
      </w:pPr>
      <w:r>
        <w:rPr>
          <w:sz w:val="16"/>
        </w:rPr>
        <w:t>*je-li Klient zapsán v obchodním rejstříku; **není-li Klient zapsán v obchodním rejstříku</w:t>
      </w:r>
    </w:p>
    <w:p w:rsidR="007C7D9C" w:rsidRDefault="007C7D9C" w:rsidP="00510103"/>
    <w:p w:rsidR="00570D03" w:rsidRPr="008C4B06" w:rsidRDefault="00570D03" w:rsidP="00510103">
      <w:pPr>
        <w:rPr>
          <w:rFonts w:cs="Arial"/>
        </w:rPr>
      </w:pPr>
      <w:r w:rsidRPr="008C4B06">
        <w:rPr>
          <w:rFonts w:cs="Arial"/>
          <w:szCs w:val="18"/>
        </w:rPr>
        <w:t xml:space="preserve">uzavírají </w:t>
      </w:r>
      <w:r w:rsidR="0061091A" w:rsidRPr="008C4B06">
        <w:rPr>
          <w:rFonts w:cs="Arial"/>
          <w:szCs w:val="18"/>
        </w:rPr>
        <w:t xml:space="preserve">podle § </w:t>
      </w:r>
      <w:r w:rsidR="0061091A">
        <w:rPr>
          <w:rFonts w:cs="Arial"/>
          <w:szCs w:val="18"/>
        </w:rPr>
        <w:t>2395</w:t>
      </w:r>
      <w:r w:rsidR="0061091A" w:rsidRPr="008C4B06">
        <w:rPr>
          <w:rFonts w:cs="Arial"/>
          <w:szCs w:val="18"/>
        </w:rPr>
        <w:t xml:space="preserve"> a</w:t>
      </w:r>
      <w:r w:rsidR="0061091A">
        <w:rPr>
          <w:rFonts w:cs="Arial"/>
          <w:szCs w:val="18"/>
        </w:rPr>
        <w:t xml:space="preserve"> následujících ustanovení </w:t>
      </w:r>
      <w:proofErr w:type="spellStart"/>
      <w:r w:rsidR="0061091A">
        <w:rPr>
          <w:rFonts w:cs="Arial"/>
          <w:szCs w:val="18"/>
        </w:rPr>
        <w:t>z.</w:t>
      </w:r>
      <w:r w:rsidR="0061091A" w:rsidRPr="008C4B06">
        <w:rPr>
          <w:rFonts w:cs="Arial"/>
          <w:szCs w:val="18"/>
        </w:rPr>
        <w:t>č</w:t>
      </w:r>
      <w:proofErr w:type="spellEnd"/>
      <w:r w:rsidR="0061091A" w:rsidRPr="008C4B06">
        <w:rPr>
          <w:rFonts w:cs="Arial"/>
          <w:szCs w:val="18"/>
        </w:rPr>
        <w:t xml:space="preserve">. </w:t>
      </w:r>
      <w:r w:rsidR="0061091A">
        <w:rPr>
          <w:rFonts w:cs="Arial"/>
          <w:szCs w:val="18"/>
        </w:rPr>
        <w:t>89</w:t>
      </w:r>
      <w:r w:rsidR="0061091A" w:rsidRPr="008C4B06">
        <w:rPr>
          <w:rFonts w:cs="Arial"/>
          <w:szCs w:val="18"/>
        </w:rPr>
        <w:t>/</w:t>
      </w:r>
      <w:r w:rsidR="0061091A">
        <w:rPr>
          <w:rFonts w:cs="Arial"/>
          <w:szCs w:val="18"/>
        </w:rPr>
        <w:t>2012</w:t>
      </w:r>
      <w:r w:rsidR="0061091A" w:rsidRPr="008C4B06">
        <w:rPr>
          <w:rFonts w:cs="Arial"/>
          <w:szCs w:val="18"/>
        </w:rPr>
        <w:t xml:space="preserve"> Sb., ob</w:t>
      </w:r>
      <w:r w:rsidR="0061091A">
        <w:rPr>
          <w:rFonts w:cs="Arial"/>
          <w:szCs w:val="18"/>
        </w:rPr>
        <w:t>čanského</w:t>
      </w:r>
      <w:r w:rsidR="0061091A" w:rsidRPr="008C4B06">
        <w:rPr>
          <w:rFonts w:cs="Arial"/>
          <w:szCs w:val="18"/>
        </w:rPr>
        <w:t xml:space="preserve"> zákoník</w:t>
      </w:r>
      <w:r w:rsidR="0061091A">
        <w:rPr>
          <w:rFonts w:cs="Arial"/>
          <w:szCs w:val="18"/>
        </w:rPr>
        <w:t>u</w:t>
      </w:r>
      <w:r w:rsidR="0061091A" w:rsidRPr="008C4B06">
        <w:rPr>
          <w:rFonts w:cs="Arial"/>
          <w:szCs w:val="18"/>
        </w:rPr>
        <w:t>, ve znění pozdějších předpisů, tuto smlouvu o úvěru (dále jen „</w:t>
      </w:r>
      <w:r w:rsidR="0061091A" w:rsidRPr="008C4B06">
        <w:rPr>
          <w:rFonts w:cs="Arial"/>
          <w:b/>
          <w:szCs w:val="18"/>
        </w:rPr>
        <w:t>Smlouva</w:t>
      </w:r>
      <w:r w:rsidRPr="008C4B06">
        <w:rPr>
          <w:rFonts w:cs="Arial"/>
          <w:szCs w:val="18"/>
        </w:rPr>
        <w:t>“).</w:t>
      </w:r>
    </w:p>
    <w:p w:rsidR="00570D03" w:rsidRPr="008C4B06" w:rsidRDefault="00570D03" w:rsidP="00510103">
      <w:pPr>
        <w:rPr>
          <w:rFonts w:cs="Arial"/>
        </w:rPr>
      </w:pPr>
    </w:p>
    <w:p w:rsidR="00570D03" w:rsidRPr="008C4B06" w:rsidRDefault="00570D03" w:rsidP="00510103">
      <w:pPr>
        <w:pStyle w:val="Nadpis1"/>
        <w:rPr>
          <w:rFonts w:cs="Arial"/>
        </w:rPr>
      </w:pPr>
      <w:r w:rsidRPr="008C4B06">
        <w:rPr>
          <w:rFonts w:cs="Arial"/>
        </w:rPr>
        <w:t>Úvodní ustanovení</w:t>
      </w:r>
    </w:p>
    <w:p w:rsidR="002167EF" w:rsidRPr="008C4B06" w:rsidRDefault="00521BE0" w:rsidP="00510103">
      <w:pPr>
        <w:pStyle w:val="Nadpis2"/>
        <w:rPr>
          <w:rFonts w:cs="Arial"/>
        </w:rPr>
      </w:pPr>
      <w:r w:rsidRPr="008C4B06">
        <w:rPr>
          <w:rFonts w:cs="Arial"/>
        </w:rPr>
        <w:t>Banka se zavazuje poskytnout Klientovi Úvěr za podmínek stanovených touto Smlouvou.</w:t>
      </w:r>
    </w:p>
    <w:p w:rsidR="002167EF" w:rsidRDefault="0061091A" w:rsidP="00510103">
      <w:pPr>
        <w:pStyle w:val="Nadpis2"/>
        <w:rPr>
          <w:rFonts w:cs="Arial"/>
        </w:rPr>
      </w:pPr>
      <w:r w:rsidRPr="008C4B06">
        <w:rPr>
          <w:rFonts w:cs="Arial"/>
        </w:rPr>
        <w:t xml:space="preserve">V souladu s § </w:t>
      </w:r>
      <w:r>
        <w:rPr>
          <w:rFonts w:cs="Arial"/>
        </w:rPr>
        <w:t>1751</w:t>
      </w:r>
      <w:r w:rsidRPr="008C4B06">
        <w:rPr>
          <w:rFonts w:cs="Arial"/>
        </w:rPr>
        <w:t xml:space="preserve"> </w:t>
      </w:r>
      <w:r>
        <w:rPr>
          <w:rFonts w:cs="Arial"/>
        </w:rPr>
        <w:t>o</w:t>
      </w:r>
      <w:r w:rsidRPr="008C4B06">
        <w:rPr>
          <w:rFonts w:cs="Arial"/>
        </w:rPr>
        <w:t>b</w:t>
      </w:r>
      <w:r>
        <w:rPr>
          <w:rFonts w:cs="Arial"/>
        </w:rPr>
        <w:t>čanského</w:t>
      </w:r>
      <w:r w:rsidRPr="008C4B06">
        <w:rPr>
          <w:rFonts w:cs="Arial"/>
        </w:rPr>
        <w:t xml:space="preserve"> zákoníku jsou nedílnou součástí této Smlouvy Všeobecné obchodní podmínky</w:t>
      </w:r>
      <w:r>
        <w:rPr>
          <w:rFonts w:cs="Arial"/>
        </w:rPr>
        <w:t xml:space="preserve"> Banky</w:t>
      </w:r>
      <w:r w:rsidRPr="008C4B06">
        <w:rPr>
          <w:rFonts w:cs="Arial"/>
        </w:rPr>
        <w:t xml:space="preserve"> (dále jen „</w:t>
      </w:r>
      <w:r w:rsidRPr="008C4B06">
        <w:rPr>
          <w:rFonts w:cs="Arial"/>
          <w:b/>
          <w:bCs/>
        </w:rPr>
        <w:t>Všeobecné podmínky</w:t>
      </w:r>
      <w:r w:rsidRPr="008C4B06">
        <w:rPr>
          <w:rFonts w:cs="Arial"/>
        </w:rPr>
        <w:t>“) a Úvěrové podmínky pro fyzické osoby podnikatele a právnické osoby (dále jen „</w:t>
      </w:r>
      <w:r w:rsidRPr="008C4B06">
        <w:rPr>
          <w:rFonts w:cs="Arial"/>
          <w:b/>
          <w:bCs/>
        </w:rPr>
        <w:t>Úvěrové podmínky</w:t>
      </w:r>
      <w:r w:rsidRPr="008C4B06">
        <w:rPr>
          <w:rFonts w:cs="Arial"/>
          <w:bCs/>
        </w:rPr>
        <w:t>“</w:t>
      </w:r>
      <w:r w:rsidRPr="008C4B06">
        <w:rPr>
          <w:rFonts w:cs="Arial"/>
        </w:rPr>
        <w:t>)</w:t>
      </w:r>
      <w:r>
        <w:rPr>
          <w:rFonts w:cs="Arial"/>
        </w:rPr>
        <w:t xml:space="preserve">, </w:t>
      </w:r>
      <w:r w:rsidRPr="00F2788C">
        <w:rPr>
          <w:rFonts w:cs="Arial"/>
        </w:rPr>
        <w:t>příslušná Oznámení</w:t>
      </w:r>
      <w:r w:rsidRPr="0006616E">
        <w:rPr>
          <w:rFonts w:cs="Arial"/>
        </w:rPr>
        <w:t xml:space="preserve">, tj. Pravidla, a Sazebník (v rozsahu relevantním k této Smlouvě). Podpisem této Smlouvy Klient potvrzuje, že se seznámil s obsahem a významem dokumentů uvedených v předchozí větě, jakož i dalších dokumentů, na které se ve Všeobecných podmínkách a Úvěrových podmínkách odkazuje, a výslovně s jejich zněním souhlasí. </w:t>
      </w:r>
      <w:r w:rsidRPr="0006616E">
        <w:rPr>
          <w:rFonts w:cs="Arial"/>
          <w:color w:val="000000"/>
          <w:szCs w:val="18"/>
        </w:rPr>
        <w:t>Podpisem této Smlouvy Klient potvrzuje, že se seznámil se zněním rozhodčí doložky obsažené v Úvěrových podmínkách a s touto rozhodčí doložkou a jejím obsahem souhlasí</w:t>
      </w:r>
      <w:r w:rsidR="002167EF" w:rsidRPr="008C4B06">
        <w:rPr>
          <w:rFonts w:cs="Arial"/>
        </w:rPr>
        <w:t>.</w:t>
      </w:r>
    </w:p>
    <w:p w:rsidR="0061091A" w:rsidRDefault="0061091A" w:rsidP="00510103">
      <w:pPr>
        <w:spacing w:after="120"/>
        <w:ind w:left="425"/>
        <w:rPr>
          <w:rFonts w:cs="Arial"/>
        </w:rPr>
      </w:pPr>
      <w:r w:rsidRPr="0006616E">
        <w:rPr>
          <w:rFonts w:cs="Arial"/>
        </w:rPr>
        <w:t>Klient tímto prohlašuje, že ho Banka upozornila na ustanovení, která odkazují na shora uvedené dokumenty stojící mimo vlastní text Smlouvy a jejich význam mu byl dostatečně vysvětlen. Klient bere na vědomí, že je vázán nejen Smlouvou, ale i těmito dokumenty a bere na vědomí, že nesplnění povinností či podmínek uvedených v těchto dokumentech může mít stejné právní následky jako nesplnění povinností a podmínek vyplývajících ze Smlouvy</w:t>
      </w:r>
      <w:r>
        <w:rPr>
          <w:rFonts w:cs="Arial"/>
        </w:rPr>
        <w:t>.</w:t>
      </w:r>
    </w:p>
    <w:p w:rsidR="0061091A" w:rsidRDefault="0061091A" w:rsidP="00510103">
      <w:pPr>
        <w:spacing w:after="120"/>
        <w:ind w:left="425"/>
        <w:rPr>
          <w:rFonts w:cs="Arial"/>
        </w:rPr>
      </w:pPr>
      <w:r w:rsidRPr="0006616E">
        <w:rPr>
          <w:rFonts w:cs="Arial"/>
        </w:rPr>
        <w:t>Článek 28 Všeobecných podmínek upravuje potřebné souhlasy Klienta, zejména souhlas se zpracováním Osobních údajů. Klient je oprávněn tyto souhlasy kdykoli písemně odvolat. Pojmy s velkým počátečním písmenem mají v této Smlouvě význam stanovený v tomto dokumentu, Úvěrových podmínkách nebo ve Všeobecných podmínkách</w:t>
      </w:r>
      <w:r>
        <w:rPr>
          <w:rFonts w:cs="Arial"/>
        </w:rPr>
        <w:t>.</w:t>
      </w:r>
    </w:p>
    <w:p w:rsidR="0061091A" w:rsidRDefault="0061091A" w:rsidP="00510103">
      <w:pPr>
        <w:spacing w:after="120"/>
        <w:ind w:left="425"/>
        <w:rPr>
          <w:szCs w:val="18"/>
        </w:rPr>
      </w:pPr>
      <w:r w:rsidRPr="0006616E">
        <w:rPr>
          <w:szCs w:val="18"/>
        </w:rPr>
        <w:t>Klient souhlasí s tím, že Banka je oprávněna započítávat své pohledávky za Klientem v rozsahu a způsobem stanoveným ve Všeobecných podmínkách</w:t>
      </w:r>
      <w:r>
        <w:rPr>
          <w:szCs w:val="18"/>
        </w:rPr>
        <w:t>.</w:t>
      </w:r>
    </w:p>
    <w:p w:rsidR="0030100D" w:rsidRPr="008C4B06" w:rsidRDefault="002167EF" w:rsidP="00510103">
      <w:pPr>
        <w:pStyle w:val="Nadpis2"/>
        <w:rPr>
          <w:rFonts w:cs="Arial"/>
        </w:rPr>
      </w:pPr>
      <w:r w:rsidRPr="008C4B06">
        <w:rPr>
          <w:rFonts w:cs="Arial"/>
        </w:rPr>
        <w:t>Kromě případů, kdy z kontextu vyplývá něco jiného, v této Smlouvě slova v jednotném čísle zahrnují rovněž množné číslo a slova v množném čísle zahrnují i číslo jednotné. Všechny nadpisy a podnadpisy jsou v textu umístěny pro jeho přehlednost a nebudou brány v potaz při výkladu této Smlouvy. Jakýkoliv odkaz na tuto Smlouvu nebo jakýkoliv jiný dokument či dohodu zahrnuje veškeré jeho dodatky a změny, které byly učiněny v souladu s touto Smlouvou a s příslušnými právními předpisy. Jakýkoliv odkaz na Přílohu, článek, odstavec a bod znamená, nevyplývá-li z kontextu této Smlouvy jinak, odkaz na Přílohu, odstavec, článek a bod této Smlouvy.</w:t>
      </w:r>
    </w:p>
    <w:p w:rsidR="0030100D" w:rsidRPr="008C4B06" w:rsidRDefault="00DC547F" w:rsidP="00510103">
      <w:pPr>
        <w:pStyle w:val="Nadpis1"/>
        <w:rPr>
          <w:rFonts w:cs="Arial"/>
        </w:rPr>
      </w:pPr>
      <w:r w:rsidRPr="008C4B06">
        <w:rPr>
          <w:rFonts w:cs="Arial"/>
        </w:rPr>
        <w:t xml:space="preserve">Základní parametry </w:t>
      </w:r>
      <w:r w:rsidR="0061091A">
        <w:rPr>
          <w:rFonts w:cs="Arial"/>
        </w:rPr>
        <w:t>ú</w:t>
      </w:r>
      <w:r w:rsidRPr="008C4B06">
        <w:rPr>
          <w:rFonts w:cs="Arial"/>
        </w:rPr>
        <w:t>věru</w:t>
      </w:r>
    </w:p>
    <w:p w:rsidR="0030100D" w:rsidRPr="008C4B06" w:rsidRDefault="00DC547F" w:rsidP="00510103">
      <w:pPr>
        <w:spacing w:after="120"/>
        <w:ind w:left="425"/>
        <w:rPr>
          <w:rFonts w:cs="Arial"/>
        </w:rPr>
      </w:pPr>
      <w:r w:rsidRPr="008C4B06">
        <w:rPr>
          <w:rFonts w:cs="Arial"/>
          <w:bCs/>
        </w:rPr>
        <w:t>Klient a Banka se dohodli na následujících parametrech poskytovaného Úvěru:</w:t>
      </w:r>
    </w:p>
    <w:p w:rsidR="00DC547F" w:rsidRPr="008C4B06" w:rsidRDefault="00DC547F" w:rsidP="00510103">
      <w:pPr>
        <w:pStyle w:val="Nadpis2"/>
        <w:rPr>
          <w:rFonts w:cs="Arial"/>
        </w:rPr>
      </w:pPr>
      <w:r w:rsidRPr="008C4B06">
        <w:rPr>
          <w:rFonts w:cs="Arial"/>
        </w:rPr>
        <w:t xml:space="preserve">Výše úvěru: </w:t>
      </w:r>
      <w:r w:rsidR="007C7D9C">
        <w:rPr>
          <w:rFonts w:cs="Arial"/>
          <w:b/>
        </w:rPr>
        <w:t>10 000 000,00</w:t>
      </w:r>
      <w:r w:rsidRPr="008C4B06">
        <w:rPr>
          <w:rFonts w:cs="Arial"/>
        </w:rPr>
        <w:t xml:space="preserve">, slovy </w:t>
      </w:r>
      <w:proofErr w:type="spellStart"/>
      <w:r w:rsidR="007C7D9C">
        <w:rPr>
          <w:rFonts w:cs="Arial"/>
        </w:rPr>
        <w:t>DesetmilionůKč</w:t>
      </w:r>
      <w:proofErr w:type="spellEnd"/>
      <w:r w:rsidRPr="008C4B06">
        <w:rPr>
          <w:rFonts w:cs="Arial"/>
        </w:rPr>
        <w:t>.</w:t>
      </w:r>
    </w:p>
    <w:p w:rsidR="00DC547F" w:rsidRPr="008C4B06" w:rsidRDefault="00DC547F" w:rsidP="00510103">
      <w:pPr>
        <w:pStyle w:val="Nadpis2"/>
        <w:rPr>
          <w:rFonts w:cs="Arial"/>
        </w:rPr>
      </w:pPr>
      <w:r w:rsidRPr="008C4B06">
        <w:rPr>
          <w:rFonts w:cs="Arial"/>
        </w:rPr>
        <w:t xml:space="preserve">Měna úvěru: </w:t>
      </w:r>
      <w:r w:rsidR="007C7D9C">
        <w:rPr>
          <w:rFonts w:cs="Arial"/>
          <w:b/>
        </w:rPr>
        <w:t>Kč</w:t>
      </w:r>
      <w:r w:rsidRPr="008C4B06">
        <w:rPr>
          <w:rFonts w:cs="Arial"/>
        </w:rPr>
        <w:t>.</w:t>
      </w:r>
    </w:p>
    <w:p w:rsidR="00DC547F" w:rsidRPr="008C4B06" w:rsidRDefault="00DC547F" w:rsidP="00510103">
      <w:pPr>
        <w:pStyle w:val="Nadpis2"/>
        <w:rPr>
          <w:rFonts w:cs="Arial"/>
        </w:rPr>
      </w:pPr>
      <w:bookmarkStart w:id="11" w:name="_Ref300576415"/>
      <w:r w:rsidRPr="008C4B06">
        <w:rPr>
          <w:rFonts w:cs="Arial"/>
        </w:rPr>
        <w:t xml:space="preserve">Doba čerpání: od </w:t>
      </w:r>
      <w:r w:rsidR="00B05DBE">
        <w:rPr>
          <w:rFonts w:cs="Arial"/>
          <w:b/>
        </w:rPr>
        <w:t>01</w:t>
      </w:r>
      <w:r w:rsidR="007C7D9C">
        <w:rPr>
          <w:rFonts w:cs="Arial"/>
          <w:b/>
        </w:rPr>
        <w:t>.0</w:t>
      </w:r>
      <w:r w:rsidR="00B05DBE">
        <w:rPr>
          <w:rFonts w:cs="Arial"/>
          <w:b/>
        </w:rPr>
        <w:t>8</w:t>
      </w:r>
      <w:r w:rsidR="007C7D9C">
        <w:rPr>
          <w:rFonts w:cs="Arial"/>
          <w:b/>
        </w:rPr>
        <w:t>.2017</w:t>
      </w:r>
      <w:r w:rsidRPr="008C4B06">
        <w:rPr>
          <w:rFonts w:cs="Arial"/>
        </w:rPr>
        <w:t xml:space="preserve"> do </w:t>
      </w:r>
      <w:r w:rsidR="007C7D9C">
        <w:rPr>
          <w:rFonts w:cs="Arial"/>
          <w:b/>
        </w:rPr>
        <w:t>31.08.2017</w:t>
      </w:r>
      <w:r w:rsidRPr="008C4B06">
        <w:rPr>
          <w:rFonts w:cs="Arial"/>
        </w:rPr>
        <w:t>.</w:t>
      </w:r>
      <w:bookmarkEnd w:id="11"/>
    </w:p>
    <w:p w:rsidR="00DC547F" w:rsidRPr="008C4B06" w:rsidRDefault="00DC547F" w:rsidP="00510103">
      <w:pPr>
        <w:spacing w:after="120"/>
        <w:ind w:left="425"/>
        <w:rPr>
          <w:rFonts w:cs="Arial"/>
          <w:bCs/>
        </w:rPr>
      </w:pPr>
      <w:r w:rsidRPr="008C4B06">
        <w:rPr>
          <w:rFonts w:cs="Arial"/>
          <w:bCs/>
        </w:rPr>
        <w:t>Klient a Banka se dohodli, že jistina Úvěru v Době čerpání bude úročena Pohyblivou sazbou.</w:t>
      </w:r>
    </w:p>
    <w:p w:rsidR="00DC547F" w:rsidRPr="008C4B06" w:rsidRDefault="00DC547F" w:rsidP="00510103">
      <w:pPr>
        <w:pStyle w:val="Nadpis3"/>
        <w:rPr>
          <w:rFonts w:cs="Arial"/>
        </w:rPr>
      </w:pPr>
      <w:r w:rsidRPr="008C4B06">
        <w:rPr>
          <w:rFonts w:cs="Arial"/>
        </w:rPr>
        <w:lastRenderedPageBreak/>
        <w:t xml:space="preserve">Výše Pohyblivé sazby pro Dobu čerpání: Referenční sazba + pevná odchylka ve výši </w:t>
      </w:r>
      <w:proofErr w:type="gramStart"/>
      <w:r w:rsidR="00E17746" w:rsidRPr="00E17746">
        <w:rPr>
          <w:rFonts w:cs="Arial"/>
        </w:rPr>
        <w:t>0,1</w:t>
      </w:r>
      <w:r w:rsidR="00AA7F6B" w:rsidRPr="00E17746">
        <w:rPr>
          <w:rFonts w:cs="Arial"/>
        </w:rPr>
        <w:t>9</w:t>
      </w:r>
      <w:r w:rsidR="009E6CB7" w:rsidRPr="00E17746">
        <w:rPr>
          <w:rFonts w:cs="Arial"/>
        </w:rPr>
        <w:t>%</w:t>
      </w:r>
      <w:proofErr w:type="gramEnd"/>
      <w:r w:rsidR="009E6CB7">
        <w:rPr>
          <w:rFonts w:cs="Arial"/>
        </w:rPr>
        <w:t xml:space="preserve"> </w:t>
      </w:r>
      <w:proofErr w:type="spellStart"/>
      <w:r w:rsidRPr="008C4B06">
        <w:rPr>
          <w:rFonts w:cs="Arial"/>
        </w:rPr>
        <w:t>p.a</w:t>
      </w:r>
      <w:proofErr w:type="spellEnd"/>
      <w:r w:rsidRPr="008C4B06">
        <w:rPr>
          <w:rFonts w:cs="Arial"/>
        </w:rPr>
        <w:t>. z jistiny Úvěru.</w:t>
      </w:r>
    </w:p>
    <w:p w:rsidR="00DC547F" w:rsidRPr="008C4B06" w:rsidRDefault="00DC547F" w:rsidP="00510103">
      <w:pPr>
        <w:pStyle w:val="Nadpis3"/>
        <w:spacing w:after="120"/>
        <w:ind w:left="850" w:hanging="425"/>
        <w:rPr>
          <w:rFonts w:cs="Arial"/>
        </w:rPr>
      </w:pPr>
      <w:r w:rsidRPr="008C4B06">
        <w:rPr>
          <w:rFonts w:cs="Arial"/>
        </w:rPr>
        <w:t xml:space="preserve">Typ Referenční sazby pro Dobu čerpání: </w:t>
      </w:r>
      <w:r w:rsidR="00AA7F6B">
        <w:rPr>
          <w:rFonts w:cs="Arial"/>
        </w:rPr>
        <w:t>3M PRIBOR</w:t>
      </w:r>
      <w:r w:rsidRPr="008C4B06">
        <w:rPr>
          <w:rFonts w:cs="Arial"/>
        </w:rPr>
        <w:t>.</w:t>
      </w:r>
    </w:p>
    <w:p w:rsidR="00DC547F" w:rsidRPr="008C4B06" w:rsidRDefault="00DC547F" w:rsidP="00510103">
      <w:pPr>
        <w:spacing w:after="120"/>
        <w:ind w:left="425"/>
        <w:rPr>
          <w:rFonts w:cs="Arial"/>
          <w:bCs/>
        </w:rPr>
      </w:pPr>
      <w:r w:rsidRPr="008C4B06">
        <w:rPr>
          <w:rFonts w:cs="Arial"/>
          <w:bCs/>
        </w:rPr>
        <w:t xml:space="preserve">Výpočet úroků je prováděn metodou </w:t>
      </w:r>
      <w:r w:rsidR="00AA7F6B">
        <w:rPr>
          <w:rFonts w:cs="Arial"/>
        </w:rPr>
        <w:t>365/360</w:t>
      </w:r>
      <w:r w:rsidRPr="008C4B06">
        <w:rPr>
          <w:rFonts w:cs="Arial"/>
        </w:rPr>
        <w:t xml:space="preserve"> dnů. </w:t>
      </w:r>
    </w:p>
    <w:p w:rsidR="00DC547F" w:rsidRPr="009E6CB7" w:rsidRDefault="00DC547F" w:rsidP="00510103">
      <w:pPr>
        <w:pStyle w:val="Nadpis2"/>
        <w:rPr>
          <w:rFonts w:cs="Arial"/>
        </w:rPr>
      </w:pPr>
      <w:bookmarkStart w:id="12" w:name="_Ref300576431"/>
      <w:r w:rsidRPr="009E6CB7">
        <w:rPr>
          <w:rFonts w:cs="Arial"/>
        </w:rPr>
        <w:t xml:space="preserve">Období splácení: od </w:t>
      </w:r>
      <w:r w:rsidR="00BD19ED">
        <w:rPr>
          <w:rFonts w:cs="Arial"/>
          <w:b/>
        </w:rPr>
        <w:t>01</w:t>
      </w:r>
      <w:r w:rsidR="007C7D9C">
        <w:rPr>
          <w:rFonts w:cs="Arial"/>
          <w:b/>
        </w:rPr>
        <w:t>.09.2017</w:t>
      </w:r>
      <w:r w:rsidRPr="009E6CB7">
        <w:rPr>
          <w:rFonts w:cs="Arial"/>
        </w:rPr>
        <w:t xml:space="preserve"> do </w:t>
      </w:r>
      <w:r w:rsidR="007C7D9C">
        <w:rPr>
          <w:rFonts w:cs="Arial"/>
          <w:b/>
        </w:rPr>
        <w:t>31.07.2027</w:t>
      </w:r>
      <w:r w:rsidRPr="009E6CB7">
        <w:rPr>
          <w:rFonts w:cs="Arial"/>
        </w:rPr>
        <w:t>.</w:t>
      </w:r>
      <w:bookmarkEnd w:id="12"/>
      <w:r w:rsidR="009E6CB7" w:rsidRPr="009E6CB7">
        <w:rPr>
          <w:rFonts w:cs="Arial"/>
        </w:rPr>
        <w:t xml:space="preserve"> </w:t>
      </w:r>
    </w:p>
    <w:p w:rsidR="00DC547F" w:rsidRPr="008C4B06" w:rsidRDefault="00DC547F" w:rsidP="00510103">
      <w:pPr>
        <w:spacing w:after="120"/>
        <w:ind w:left="425"/>
        <w:rPr>
          <w:rFonts w:cs="Arial"/>
          <w:bCs/>
        </w:rPr>
      </w:pPr>
      <w:r w:rsidRPr="008C4B06">
        <w:rPr>
          <w:rFonts w:cs="Arial"/>
          <w:bCs/>
        </w:rPr>
        <w:t>Klient a Banka se dohodli, že jistina Úvěru v Období splácení bude úročena Pohyblivou sazbou.</w:t>
      </w:r>
    </w:p>
    <w:p w:rsidR="00DC547F" w:rsidRPr="008C4B06" w:rsidRDefault="00DC547F" w:rsidP="00510103">
      <w:pPr>
        <w:pStyle w:val="Nadpis3"/>
        <w:rPr>
          <w:rFonts w:cs="Arial"/>
        </w:rPr>
      </w:pPr>
      <w:r w:rsidRPr="008C4B06">
        <w:rPr>
          <w:rFonts w:cs="Arial"/>
        </w:rPr>
        <w:t xml:space="preserve">Výše Pohyblivé sazby pro </w:t>
      </w:r>
      <w:r w:rsidRPr="008C4B06">
        <w:rPr>
          <w:rFonts w:cs="Arial"/>
          <w:bCs/>
        </w:rPr>
        <w:t>Období splácení</w:t>
      </w:r>
      <w:r w:rsidRPr="008C4B06">
        <w:rPr>
          <w:rFonts w:cs="Arial"/>
        </w:rPr>
        <w:t xml:space="preserve">: Referenční sazba + pevná odchylka ve výši </w:t>
      </w:r>
      <w:r w:rsidR="00E17746">
        <w:rPr>
          <w:rFonts w:cs="Arial"/>
        </w:rPr>
        <w:t>0,1</w:t>
      </w:r>
      <w:r w:rsidR="00AA7F6B">
        <w:rPr>
          <w:rFonts w:cs="Arial"/>
        </w:rPr>
        <w:t xml:space="preserve">9 </w:t>
      </w:r>
      <w:r w:rsidR="009E6CB7">
        <w:rPr>
          <w:rFonts w:cs="Arial"/>
        </w:rPr>
        <w:t xml:space="preserve">% </w:t>
      </w:r>
      <w:proofErr w:type="spellStart"/>
      <w:r w:rsidRPr="008C4B06">
        <w:rPr>
          <w:rFonts w:cs="Arial"/>
        </w:rPr>
        <w:t>p.a</w:t>
      </w:r>
      <w:proofErr w:type="spellEnd"/>
      <w:r w:rsidRPr="008C4B06">
        <w:rPr>
          <w:rFonts w:cs="Arial"/>
        </w:rPr>
        <w:t>. z jistiny Úvěru.</w:t>
      </w:r>
    </w:p>
    <w:p w:rsidR="00DC547F" w:rsidRPr="008C4B06" w:rsidRDefault="00DC547F" w:rsidP="00510103">
      <w:pPr>
        <w:pStyle w:val="Nadpis3"/>
        <w:spacing w:after="120"/>
        <w:ind w:left="850" w:hanging="425"/>
        <w:rPr>
          <w:rFonts w:cs="Arial"/>
        </w:rPr>
      </w:pPr>
      <w:r w:rsidRPr="008C4B06">
        <w:rPr>
          <w:rFonts w:cs="Arial"/>
        </w:rPr>
        <w:t xml:space="preserve">Typ Referenční sazby pro </w:t>
      </w:r>
      <w:r w:rsidRPr="008C4B06">
        <w:rPr>
          <w:rFonts w:cs="Arial"/>
          <w:bCs/>
        </w:rPr>
        <w:t>Období splácení</w:t>
      </w:r>
      <w:r w:rsidRPr="008C4B06">
        <w:rPr>
          <w:rFonts w:cs="Arial"/>
        </w:rPr>
        <w:t xml:space="preserve">: </w:t>
      </w:r>
      <w:r w:rsidR="00AA7F6B">
        <w:rPr>
          <w:rFonts w:cs="Arial"/>
        </w:rPr>
        <w:t>3M PRIBOR</w:t>
      </w:r>
      <w:r w:rsidRPr="008C4B06">
        <w:rPr>
          <w:rFonts w:cs="Arial"/>
        </w:rPr>
        <w:t>.</w:t>
      </w:r>
    </w:p>
    <w:p w:rsidR="00DC547F" w:rsidRPr="008C4B06" w:rsidRDefault="00DC547F" w:rsidP="00510103">
      <w:pPr>
        <w:spacing w:after="120"/>
        <w:ind w:left="425"/>
        <w:rPr>
          <w:rFonts w:cs="Arial"/>
          <w:bCs/>
        </w:rPr>
      </w:pPr>
      <w:r w:rsidRPr="008C4B06">
        <w:rPr>
          <w:rFonts w:cs="Arial"/>
        </w:rPr>
        <w:t xml:space="preserve">Ustanovení tohoto odstavce se použije, nedohodnou-li se Klient a Banka na změně způsobu úročení způsobem uvedeným v článku </w:t>
      </w:r>
      <w:r w:rsidR="00AC6673" w:rsidRPr="008C4B06">
        <w:rPr>
          <w:rFonts w:cs="Arial"/>
        </w:rPr>
        <w:fldChar w:fldCharType="begin"/>
      </w:r>
      <w:r w:rsidR="00AC6673" w:rsidRPr="008C4B06">
        <w:rPr>
          <w:rFonts w:cs="Arial"/>
        </w:rPr>
        <w:instrText xml:space="preserve"> REF _Ref287425841 \r \h </w:instrText>
      </w:r>
      <w:r w:rsidR="008C4B06">
        <w:rPr>
          <w:rFonts w:cs="Arial"/>
        </w:rPr>
        <w:instrText xml:space="preserve"> \* MERGEFORMAT </w:instrText>
      </w:r>
      <w:r w:rsidR="00AC6673" w:rsidRPr="008C4B06">
        <w:rPr>
          <w:rFonts w:cs="Arial"/>
        </w:rPr>
      </w:r>
      <w:r w:rsidR="00AC6673" w:rsidRPr="008C4B06">
        <w:rPr>
          <w:rFonts w:cs="Arial"/>
        </w:rPr>
        <w:fldChar w:fldCharType="separate"/>
      </w:r>
      <w:r w:rsidR="00D31EE0">
        <w:rPr>
          <w:rFonts w:cs="Arial"/>
        </w:rPr>
        <w:t>5</w:t>
      </w:r>
      <w:r w:rsidR="00AC6673" w:rsidRPr="008C4B06">
        <w:rPr>
          <w:rFonts w:cs="Arial"/>
        </w:rPr>
        <w:fldChar w:fldCharType="end"/>
      </w:r>
      <w:r w:rsidRPr="008C4B06">
        <w:rPr>
          <w:rFonts w:cs="Arial"/>
        </w:rPr>
        <w:t>.</w:t>
      </w:r>
    </w:p>
    <w:p w:rsidR="00DC547F" w:rsidRPr="008C4B06" w:rsidRDefault="00DC547F" w:rsidP="00510103">
      <w:pPr>
        <w:spacing w:after="120"/>
        <w:ind w:left="425"/>
        <w:rPr>
          <w:rFonts w:cs="Arial"/>
          <w:bCs/>
        </w:rPr>
      </w:pPr>
      <w:r w:rsidRPr="008C4B06">
        <w:rPr>
          <w:rFonts w:cs="Arial"/>
          <w:bCs/>
        </w:rPr>
        <w:t xml:space="preserve">Výpočet úroků je prováděn metodou </w:t>
      </w:r>
      <w:r w:rsidR="00AA7F6B">
        <w:rPr>
          <w:rFonts w:cs="Arial"/>
        </w:rPr>
        <w:t>365/360</w:t>
      </w:r>
      <w:r w:rsidRPr="008C4B06">
        <w:rPr>
          <w:rFonts w:cs="Arial"/>
        </w:rPr>
        <w:t xml:space="preserve"> dnů. </w:t>
      </w:r>
    </w:p>
    <w:p w:rsidR="00DC547F" w:rsidRPr="008C4B06" w:rsidRDefault="00DC547F" w:rsidP="00510103">
      <w:pPr>
        <w:pStyle w:val="Nadpis2"/>
        <w:rPr>
          <w:rFonts w:cs="Arial"/>
        </w:rPr>
      </w:pPr>
      <w:r w:rsidRPr="008C4B06">
        <w:rPr>
          <w:rFonts w:cs="Arial"/>
        </w:rPr>
        <w:t>Způsob splácení: dle Splátkového plánu uvedeného v Příloze č. 1.</w:t>
      </w:r>
    </w:p>
    <w:p w:rsidR="00DC547F" w:rsidRPr="008C4B06" w:rsidRDefault="00DC547F" w:rsidP="00510103">
      <w:pPr>
        <w:pStyle w:val="Nadpis2"/>
        <w:rPr>
          <w:rFonts w:cs="Arial"/>
        </w:rPr>
      </w:pPr>
      <w:r w:rsidRPr="008C4B06">
        <w:rPr>
          <w:rFonts w:cs="Arial"/>
        </w:rPr>
        <w:t xml:space="preserve">Klient je povinen použít Úvěr výhradně k následujícímu účelu: </w:t>
      </w:r>
      <w:r w:rsidR="007C7D9C">
        <w:rPr>
          <w:rFonts w:cs="Arial"/>
          <w:b/>
        </w:rPr>
        <w:t>Rekonstrukce kogenerační jednotky na CTZ Blatnická č.p. 1455</w:t>
      </w:r>
      <w:r w:rsidRPr="008C4B06">
        <w:rPr>
          <w:rFonts w:cs="Arial"/>
        </w:rPr>
        <w:t>.</w:t>
      </w:r>
    </w:p>
    <w:p w:rsidR="00DC547F" w:rsidRPr="008C4B06" w:rsidRDefault="00DC547F" w:rsidP="00510103">
      <w:pPr>
        <w:pStyle w:val="Nadpis2"/>
        <w:rPr>
          <w:rFonts w:cs="Arial"/>
        </w:rPr>
      </w:pPr>
      <w:r w:rsidRPr="008C4B06">
        <w:rPr>
          <w:rFonts w:cs="Arial"/>
        </w:rPr>
        <w:t xml:space="preserve">Banka bude evidovat svoji pohledávku za Klientem ze Smlouvy pod číslem </w:t>
      </w:r>
      <w:r w:rsidR="00E06556">
        <w:rPr>
          <w:rFonts w:cs="Arial"/>
          <w:b/>
        </w:rPr>
        <w:t>35-1503511587</w:t>
      </w:r>
      <w:r w:rsidR="007C7D9C">
        <w:rPr>
          <w:rFonts w:cs="Arial"/>
          <w:b/>
        </w:rPr>
        <w:t>/0100</w:t>
      </w:r>
      <w:r w:rsidRPr="008C4B06">
        <w:rPr>
          <w:rFonts w:cs="Arial"/>
        </w:rPr>
        <w:t xml:space="preserve">, jako </w:t>
      </w:r>
      <w:r w:rsidR="007A4760">
        <w:rPr>
          <w:rFonts w:cs="Arial"/>
        </w:rPr>
        <w:t xml:space="preserve">úvěr na investice v Kč. </w:t>
      </w:r>
      <w:r w:rsidRPr="008C4B06">
        <w:rPr>
          <w:rFonts w:cs="Arial"/>
          <w:bCs/>
        </w:rPr>
        <w:t>Případnou změnu evidenčního čísla Banka oznámí Klientovi do pěti (5) Obchodních dnů od provedení změny.</w:t>
      </w:r>
    </w:p>
    <w:p w:rsidR="00DC547F" w:rsidRPr="008C4B06" w:rsidRDefault="00DC547F" w:rsidP="00510103">
      <w:pPr>
        <w:pStyle w:val="Nadpis2"/>
        <w:rPr>
          <w:rFonts w:cs="Arial"/>
        </w:rPr>
      </w:pPr>
      <w:r w:rsidRPr="008C4B06">
        <w:rPr>
          <w:rFonts w:cs="Arial"/>
        </w:rPr>
        <w:t>Pevná odchylka sjednaná v</w:t>
      </w:r>
      <w:r w:rsidR="00AC6673" w:rsidRPr="008C4B06">
        <w:rPr>
          <w:rFonts w:cs="Arial"/>
        </w:rPr>
        <w:t> </w:t>
      </w:r>
      <w:r w:rsidRPr="008C4B06">
        <w:rPr>
          <w:rFonts w:cs="Arial"/>
        </w:rPr>
        <w:t>odstavci</w:t>
      </w:r>
      <w:r w:rsidR="00AC6673" w:rsidRPr="008C4B06">
        <w:rPr>
          <w:rFonts w:cs="Arial"/>
        </w:rPr>
        <w:t xml:space="preserve"> </w:t>
      </w:r>
      <w:r w:rsidR="00AC6673" w:rsidRPr="008C4B06">
        <w:rPr>
          <w:rFonts w:cs="Arial"/>
        </w:rPr>
        <w:fldChar w:fldCharType="begin"/>
      </w:r>
      <w:r w:rsidR="00AC6673" w:rsidRPr="008C4B06">
        <w:rPr>
          <w:rFonts w:cs="Arial"/>
        </w:rPr>
        <w:instrText xml:space="preserve"> REF _Ref300576415 \r \h </w:instrText>
      </w:r>
      <w:r w:rsidR="008C4B06">
        <w:rPr>
          <w:rFonts w:cs="Arial"/>
        </w:rPr>
        <w:instrText xml:space="preserve"> \* MERGEFORMAT </w:instrText>
      </w:r>
      <w:r w:rsidR="00AC6673" w:rsidRPr="008C4B06">
        <w:rPr>
          <w:rFonts w:cs="Arial"/>
        </w:rPr>
      </w:r>
      <w:r w:rsidR="00AC6673" w:rsidRPr="008C4B06">
        <w:rPr>
          <w:rFonts w:cs="Arial"/>
        </w:rPr>
        <w:fldChar w:fldCharType="separate"/>
      </w:r>
      <w:r w:rsidR="00D31EE0">
        <w:rPr>
          <w:rFonts w:cs="Arial"/>
        </w:rPr>
        <w:t>2.3</w:t>
      </w:r>
      <w:r w:rsidR="00AC6673" w:rsidRPr="008C4B06">
        <w:rPr>
          <w:rFonts w:cs="Arial"/>
        </w:rPr>
        <w:fldChar w:fldCharType="end"/>
      </w:r>
      <w:r w:rsidRPr="008C4B06">
        <w:rPr>
          <w:rFonts w:cs="Arial"/>
        </w:rPr>
        <w:t xml:space="preserve"> a</w:t>
      </w:r>
      <w:r w:rsidR="00AC6673" w:rsidRPr="008C4B06">
        <w:rPr>
          <w:rFonts w:cs="Arial"/>
        </w:rPr>
        <w:t xml:space="preserve"> </w:t>
      </w:r>
      <w:r w:rsidR="00AC6673" w:rsidRPr="008C4B06">
        <w:rPr>
          <w:rFonts w:cs="Arial"/>
        </w:rPr>
        <w:fldChar w:fldCharType="begin"/>
      </w:r>
      <w:r w:rsidR="00AC6673" w:rsidRPr="008C4B06">
        <w:rPr>
          <w:rFonts w:cs="Arial"/>
        </w:rPr>
        <w:instrText xml:space="preserve"> REF _Ref300576431 \r \h </w:instrText>
      </w:r>
      <w:r w:rsidR="008C4B06">
        <w:rPr>
          <w:rFonts w:cs="Arial"/>
        </w:rPr>
        <w:instrText xml:space="preserve"> \* MERGEFORMAT </w:instrText>
      </w:r>
      <w:r w:rsidR="00AC6673" w:rsidRPr="008C4B06">
        <w:rPr>
          <w:rFonts w:cs="Arial"/>
        </w:rPr>
      </w:r>
      <w:r w:rsidR="00AC6673" w:rsidRPr="008C4B06">
        <w:rPr>
          <w:rFonts w:cs="Arial"/>
        </w:rPr>
        <w:fldChar w:fldCharType="separate"/>
      </w:r>
      <w:r w:rsidR="00D31EE0">
        <w:rPr>
          <w:rFonts w:cs="Arial"/>
        </w:rPr>
        <w:t>2.4</w:t>
      </w:r>
      <w:r w:rsidR="00AC6673" w:rsidRPr="008C4B06">
        <w:rPr>
          <w:rFonts w:cs="Arial"/>
        </w:rPr>
        <w:fldChar w:fldCharType="end"/>
      </w:r>
      <w:r w:rsidRPr="008C4B06">
        <w:rPr>
          <w:rFonts w:cs="Arial"/>
        </w:rPr>
        <w:t xml:space="preserve"> je neměnná po celou dobu trvání Úvěru za předpokladu, že Klient dodržuje podmínky této Smlouvy. V případě, že nastane Případ porušení, je Banka oprávněna zvýšit úrokovou sazbu sjednanou v této Smlouvě o </w:t>
      </w:r>
      <w:proofErr w:type="gramStart"/>
      <w:r w:rsidR="009F7F50">
        <w:rPr>
          <w:rFonts w:cs="Arial"/>
          <w:b/>
        </w:rPr>
        <w:t>1</w:t>
      </w:r>
      <w:r w:rsidR="007A4760" w:rsidRPr="009F7F50">
        <w:rPr>
          <w:rFonts w:cs="Arial"/>
          <w:b/>
        </w:rPr>
        <w:t>,00</w:t>
      </w:r>
      <w:r w:rsidRPr="008C4B06">
        <w:rPr>
          <w:rFonts w:cs="Arial"/>
        </w:rPr>
        <w:t xml:space="preserve"> procentní</w:t>
      </w:r>
      <w:proofErr w:type="gramEnd"/>
      <w:r w:rsidRPr="008C4B06">
        <w:rPr>
          <w:rFonts w:cs="Arial"/>
        </w:rPr>
        <w:t xml:space="preserve"> bod.</w:t>
      </w:r>
    </w:p>
    <w:p w:rsidR="00DC547F" w:rsidRPr="008C4B06" w:rsidRDefault="00DC547F" w:rsidP="00510103">
      <w:pPr>
        <w:pStyle w:val="Nadpis2"/>
        <w:rPr>
          <w:rFonts w:cs="Arial"/>
        </w:rPr>
      </w:pPr>
      <w:r w:rsidRPr="008C4B06">
        <w:rPr>
          <w:rFonts w:cs="Arial"/>
          <w:bCs/>
        </w:rPr>
        <w:t>Další ceny spojené s poskytováním Úvěru:</w:t>
      </w:r>
    </w:p>
    <w:p w:rsidR="00DC547F" w:rsidRPr="008C4B06" w:rsidRDefault="00DC547F" w:rsidP="00510103">
      <w:pPr>
        <w:pStyle w:val="Nadpis3"/>
        <w:rPr>
          <w:rFonts w:cs="Arial"/>
        </w:rPr>
      </w:pPr>
      <w:r w:rsidRPr="008C4B06">
        <w:rPr>
          <w:rFonts w:cs="Arial"/>
        </w:rPr>
        <w:t xml:space="preserve">Cena za rezervaci zdrojů: </w:t>
      </w:r>
      <w:r w:rsidR="00C86416">
        <w:rPr>
          <w:rFonts w:cs="Arial"/>
        </w:rPr>
        <w:t>nesjednává se</w:t>
      </w:r>
      <w:r w:rsidRPr="008C4B06">
        <w:rPr>
          <w:rFonts w:cs="Arial"/>
        </w:rPr>
        <w:t>.</w:t>
      </w:r>
    </w:p>
    <w:p w:rsidR="00DC547F" w:rsidRPr="008C4B06" w:rsidRDefault="00DC547F" w:rsidP="00510103">
      <w:pPr>
        <w:pStyle w:val="Nadpis3"/>
        <w:rPr>
          <w:rFonts w:cs="Arial"/>
        </w:rPr>
      </w:pPr>
      <w:r w:rsidRPr="008C4B06">
        <w:rPr>
          <w:rFonts w:cs="Arial"/>
        </w:rPr>
        <w:t>Cena za spravování Úvěru:</w:t>
      </w:r>
      <w:r w:rsidR="00C86416">
        <w:rPr>
          <w:rFonts w:cs="Arial"/>
        </w:rPr>
        <w:t xml:space="preserve"> nesjednává se</w:t>
      </w:r>
      <w:r w:rsidRPr="008C4B06">
        <w:rPr>
          <w:rFonts w:cs="Arial"/>
        </w:rPr>
        <w:t>.</w:t>
      </w:r>
    </w:p>
    <w:p w:rsidR="00DC547F" w:rsidRPr="008C4B06" w:rsidRDefault="00DC547F" w:rsidP="00510103">
      <w:pPr>
        <w:pStyle w:val="Nadpis3"/>
        <w:ind w:left="850" w:hanging="425"/>
        <w:rPr>
          <w:rFonts w:cs="Arial"/>
        </w:rPr>
      </w:pPr>
      <w:r w:rsidRPr="008C4B06">
        <w:rPr>
          <w:rFonts w:cs="Arial"/>
        </w:rPr>
        <w:t>Cena za realizaci Úvěru:</w:t>
      </w:r>
      <w:r w:rsidR="00C86416">
        <w:rPr>
          <w:rFonts w:cs="Arial"/>
        </w:rPr>
        <w:t xml:space="preserve"> nesjednává se</w:t>
      </w:r>
      <w:r w:rsidRPr="008C4B06">
        <w:rPr>
          <w:rFonts w:cs="Arial"/>
        </w:rPr>
        <w:t>.</w:t>
      </w:r>
    </w:p>
    <w:p w:rsidR="00DC547F" w:rsidRPr="008C4B06" w:rsidRDefault="007547E1" w:rsidP="00510103">
      <w:pPr>
        <w:pStyle w:val="Nadpis1"/>
        <w:rPr>
          <w:rFonts w:cs="Arial"/>
        </w:rPr>
      </w:pPr>
      <w:r w:rsidRPr="008C4B06">
        <w:rPr>
          <w:rFonts w:cs="Arial"/>
        </w:rPr>
        <w:t xml:space="preserve">Čerpání </w:t>
      </w:r>
      <w:r w:rsidR="0061091A">
        <w:rPr>
          <w:rFonts w:cs="Arial"/>
        </w:rPr>
        <w:t>ú</w:t>
      </w:r>
      <w:r w:rsidRPr="008C4B06">
        <w:rPr>
          <w:rFonts w:cs="Arial"/>
        </w:rPr>
        <w:t>věru</w:t>
      </w:r>
    </w:p>
    <w:p w:rsidR="007547E1" w:rsidRPr="008C4B06" w:rsidRDefault="007547E1" w:rsidP="00510103">
      <w:pPr>
        <w:pStyle w:val="Nadpis2"/>
        <w:rPr>
          <w:rFonts w:cs="Arial"/>
        </w:rPr>
      </w:pPr>
      <w:r w:rsidRPr="008C4B06">
        <w:rPr>
          <w:rFonts w:cs="Arial"/>
        </w:rPr>
        <w:t>Pokud Klient nevyčerpá Úvěr ve lhůtě podle odstavce</w:t>
      </w:r>
      <w:r w:rsidR="00D621F1" w:rsidRPr="008C4B06">
        <w:rPr>
          <w:rFonts w:cs="Arial"/>
        </w:rPr>
        <w:t xml:space="preserve"> </w:t>
      </w:r>
      <w:r w:rsidR="00D621F1" w:rsidRPr="008C4B06">
        <w:rPr>
          <w:rFonts w:cs="Arial"/>
        </w:rPr>
        <w:fldChar w:fldCharType="begin"/>
      </w:r>
      <w:r w:rsidR="00D621F1" w:rsidRPr="008C4B06">
        <w:rPr>
          <w:rFonts w:cs="Arial"/>
        </w:rPr>
        <w:instrText xml:space="preserve"> REF _Ref300576415 \r \h </w:instrText>
      </w:r>
      <w:r w:rsidR="008C4B06">
        <w:rPr>
          <w:rFonts w:cs="Arial"/>
        </w:rPr>
        <w:instrText xml:space="preserve"> \* MERGEFORMAT </w:instrText>
      </w:r>
      <w:r w:rsidR="00D621F1" w:rsidRPr="008C4B06">
        <w:rPr>
          <w:rFonts w:cs="Arial"/>
        </w:rPr>
      </w:r>
      <w:r w:rsidR="00D621F1" w:rsidRPr="008C4B06">
        <w:rPr>
          <w:rFonts w:cs="Arial"/>
        </w:rPr>
        <w:fldChar w:fldCharType="separate"/>
      </w:r>
      <w:r w:rsidR="00D31EE0">
        <w:rPr>
          <w:rFonts w:cs="Arial"/>
        </w:rPr>
        <w:t>2.3</w:t>
      </w:r>
      <w:r w:rsidR="00D621F1" w:rsidRPr="008C4B06">
        <w:rPr>
          <w:rFonts w:cs="Arial"/>
        </w:rPr>
        <w:fldChar w:fldCharType="end"/>
      </w:r>
      <w:r w:rsidRPr="008C4B06">
        <w:rPr>
          <w:rFonts w:cs="Arial"/>
        </w:rPr>
        <w:t>, jeho právo na poskytnutí nevyčerpané části Úvěru zaniká. V případě, že Banka po uplynutí lhůty podle první věty tohoto odstavce umožní Klientovi Čerpání, považuje se Čerpání za řádně poskytnuté podle této Smlouvy.</w:t>
      </w:r>
    </w:p>
    <w:p w:rsidR="007547E1" w:rsidRPr="008C4B06" w:rsidRDefault="007547E1" w:rsidP="00510103">
      <w:pPr>
        <w:pStyle w:val="Nadpis2"/>
        <w:rPr>
          <w:rFonts w:cs="Arial"/>
          <w:bCs/>
        </w:rPr>
      </w:pPr>
      <w:r w:rsidRPr="008C4B06">
        <w:rPr>
          <w:rFonts w:cs="Arial"/>
          <w:bCs/>
        </w:rPr>
        <w:t xml:space="preserve">Banka poskytne každé Čerpání, </w:t>
      </w:r>
      <w:r w:rsidRPr="008C4B06">
        <w:rPr>
          <w:rFonts w:cs="Arial"/>
        </w:rPr>
        <w:t xml:space="preserve">pokud jsou splněny Odkládací podmínky čerpání, </w:t>
      </w:r>
      <w:r w:rsidRPr="008C4B06">
        <w:rPr>
          <w:rFonts w:cs="Arial"/>
          <w:bCs/>
        </w:rPr>
        <w:t>nejpozději do dvou (2) Obchodních dnů od doručení Žádosti.</w:t>
      </w:r>
    </w:p>
    <w:p w:rsidR="007547E1" w:rsidRPr="008C4B06" w:rsidRDefault="007547E1" w:rsidP="00510103">
      <w:pPr>
        <w:pStyle w:val="Nadpis2"/>
        <w:rPr>
          <w:rFonts w:cs="Arial"/>
        </w:rPr>
      </w:pPr>
      <w:bookmarkStart w:id="13" w:name="ucel_ano"/>
      <w:r w:rsidRPr="008C4B06">
        <w:rPr>
          <w:rFonts w:cs="Arial"/>
        </w:rPr>
        <w:t>Čerpání je kromě podmínek uvedených v článku VI. Úvěrových podmínek podmíněno předložením dokladů prokazujících, že Úvěr bude čerpán za účelem stanoveným v této Smlouvě.</w:t>
      </w:r>
    </w:p>
    <w:bookmarkEnd w:id="13"/>
    <w:p w:rsidR="007547E1" w:rsidRPr="008C4B06" w:rsidRDefault="007547E1" w:rsidP="00510103">
      <w:pPr>
        <w:pStyle w:val="Nadpis2"/>
        <w:rPr>
          <w:rFonts w:cs="Arial"/>
        </w:rPr>
      </w:pPr>
      <w:r w:rsidRPr="008C4B06">
        <w:rPr>
          <w:rFonts w:cs="Arial"/>
        </w:rPr>
        <w:t xml:space="preserve">Počínaje dnem Čerpání </w:t>
      </w:r>
      <w:r w:rsidRPr="008C4B06">
        <w:rPr>
          <w:rFonts w:cs="Arial"/>
          <w:bCs/>
        </w:rPr>
        <w:t xml:space="preserve">do data prvního dne Období splácení je </w:t>
      </w:r>
      <w:r w:rsidRPr="008C4B06">
        <w:rPr>
          <w:rFonts w:cs="Arial"/>
        </w:rPr>
        <w:t>Klient povinen hradit Bance úroky z jistiny Úvěru ve výši podle odstavce 2.3, způsobem uvedeným v odstavci 4.3.</w:t>
      </w:r>
      <w:r w:rsidRPr="008C4B06">
        <w:rPr>
          <w:rFonts w:cs="Arial"/>
          <w:bCs/>
        </w:rPr>
        <w:t xml:space="preserve"> </w:t>
      </w:r>
      <w:r w:rsidRPr="008C4B06">
        <w:rPr>
          <w:rFonts w:cs="Arial"/>
        </w:rPr>
        <w:t xml:space="preserve">Úroky budou hrazeny v </w:t>
      </w:r>
      <w:r w:rsidR="007C7D9C">
        <w:rPr>
          <w:rFonts w:cs="Arial"/>
          <w:b/>
        </w:rPr>
        <w:t>Kč</w:t>
      </w:r>
      <w:r w:rsidR="00DD6F15">
        <w:rPr>
          <w:rStyle w:val="NapovedaChar"/>
          <w:rFonts w:cs="Arial"/>
          <w:vanish w:val="0"/>
        </w:rPr>
        <w:t xml:space="preserve"> </w:t>
      </w:r>
      <w:r w:rsidR="007C7D9C">
        <w:rPr>
          <w:rFonts w:cs="Arial"/>
          <w:b/>
        </w:rPr>
        <w:t>měsíčně</w:t>
      </w:r>
      <w:r w:rsidRPr="008C4B06">
        <w:rPr>
          <w:rFonts w:cs="Arial"/>
        </w:rPr>
        <w:t xml:space="preserve"> vždy k tomu dni příslušného </w:t>
      </w:r>
      <w:r w:rsidR="007C7D9C">
        <w:rPr>
          <w:rFonts w:cs="Arial"/>
          <w:b/>
        </w:rPr>
        <w:t>kalendářního měsíce</w:t>
      </w:r>
      <w:r w:rsidRPr="008C4B06">
        <w:rPr>
          <w:rFonts w:cs="Arial"/>
        </w:rPr>
        <w:t xml:space="preserve">, </w:t>
      </w:r>
      <w:r w:rsidRPr="008C4B06">
        <w:rPr>
          <w:rFonts w:cs="Arial"/>
          <w:bCs/>
        </w:rPr>
        <w:t xml:space="preserve">který se číslem shoduje se dnem, ve kterém bylo uskutečněno první Čerpání. Není-li takový den v příslušném měsíci, připadne Den splatnosti na poslední den v měsíci. </w:t>
      </w:r>
      <w:r w:rsidRPr="008C4B06">
        <w:rPr>
          <w:rFonts w:cs="Arial"/>
        </w:rPr>
        <w:t xml:space="preserve">Ujednání předchozí věty neplatí pro poslední úhradu úroků za Dobu čerpání, která bude provedena </w:t>
      </w:r>
      <w:r w:rsidRPr="008C4B06">
        <w:rPr>
          <w:rFonts w:cs="Arial"/>
          <w:bCs/>
        </w:rPr>
        <w:t>v první den Období splácení.</w:t>
      </w:r>
    </w:p>
    <w:p w:rsidR="007547E1" w:rsidRPr="0098068E" w:rsidRDefault="003F2496" w:rsidP="00510103">
      <w:pPr>
        <w:pStyle w:val="Nadpis2"/>
      </w:pPr>
      <w:bookmarkStart w:id="14" w:name="_Ref300743280"/>
      <w:bookmarkStart w:id="15" w:name="jistina_postup_1"/>
      <w:r w:rsidRPr="008C4B06">
        <w:rPr>
          <w:rFonts w:cs="Arial"/>
          <w:bCs/>
        </w:rPr>
        <w:t>Pokud Klient nevyčerpá jistinu Úvěru do Výše úvěru</w:t>
      </w:r>
      <w:r>
        <w:rPr>
          <w:rFonts w:cs="Arial"/>
          <w:bCs/>
        </w:rPr>
        <w:t xml:space="preserve"> a </w:t>
      </w:r>
      <w:r>
        <w:t>není sjednána Strukturovaná sazba</w:t>
      </w:r>
      <w:r w:rsidRPr="008C4B06">
        <w:t>, zkracuje se lhůta pro splácení jistiny Úvěru podle sjednaného Splátkového plánu o splátky v rozsahu nečerpané výše Úvěru a/nebo se poslední splátka (dohodnuté nebo zkrácené lhůty) poměrně sníží</w:t>
      </w:r>
      <w:bookmarkEnd w:id="14"/>
      <w:r w:rsidR="0098068E" w:rsidRPr="0098068E">
        <w:rPr>
          <w:szCs w:val="18"/>
        </w:rPr>
        <w:t>.</w:t>
      </w:r>
    </w:p>
    <w:bookmarkEnd w:id="15"/>
    <w:p w:rsidR="007547E1" w:rsidRPr="008C4B06" w:rsidRDefault="001D5479" w:rsidP="00510103">
      <w:pPr>
        <w:pStyle w:val="Nadpis1"/>
        <w:rPr>
          <w:rFonts w:cs="Arial"/>
        </w:rPr>
      </w:pPr>
      <w:r w:rsidRPr="008C4B06">
        <w:rPr>
          <w:rFonts w:cs="Arial"/>
        </w:rPr>
        <w:t xml:space="preserve">Splácení </w:t>
      </w:r>
      <w:r w:rsidR="0061091A">
        <w:rPr>
          <w:rFonts w:cs="Arial"/>
        </w:rPr>
        <w:t>ú</w:t>
      </w:r>
      <w:r w:rsidRPr="008C4B06">
        <w:rPr>
          <w:rFonts w:cs="Arial"/>
        </w:rPr>
        <w:t>věru v </w:t>
      </w:r>
      <w:r w:rsidR="0061091A">
        <w:rPr>
          <w:rFonts w:cs="Arial"/>
        </w:rPr>
        <w:t>o</w:t>
      </w:r>
      <w:r w:rsidRPr="008C4B06">
        <w:rPr>
          <w:rFonts w:cs="Arial"/>
        </w:rPr>
        <w:t>bdobí splácení</w:t>
      </w:r>
    </w:p>
    <w:p w:rsidR="001D5479" w:rsidRDefault="0061091A" w:rsidP="00510103">
      <w:pPr>
        <w:pStyle w:val="Nadpis2"/>
        <w:tabs>
          <w:tab w:val="clear" w:pos="425"/>
          <w:tab w:val="left" w:pos="426"/>
          <w:tab w:val="num" w:pos="851"/>
        </w:tabs>
        <w:rPr>
          <w:rFonts w:cs="Arial"/>
        </w:rPr>
      </w:pPr>
      <w:r>
        <w:rPr>
          <w:rFonts w:cs="Arial"/>
        </w:rPr>
        <w:t>a)</w:t>
      </w:r>
      <w:r>
        <w:rPr>
          <w:rFonts w:cs="Arial"/>
        </w:rPr>
        <w:tab/>
      </w:r>
      <w:r w:rsidR="001D5479" w:rsidRPr="008C4B06">
        <w:rPr>
          <w:rFonts w:cs="Arial"/>
        </w:rPr>
        <w:t>Klient se zavazuje splácet jistinu Úvěru v souladu se Splátkovým plánem.</w:t>
      </w:r>
    </w:p>
    <w:p w:rsidR="0061091A" w:rsidRPr="00D86BD4" w:rsidRDefault="0061091A" w:rsidP="00510103">
      <w:pPr>
        <w:spacing w:after="120"/>
        <w:ind w:left="850" w:hanging="425"/>
        <w:rPr>
          <w:szCs w:val="18"/>
        </w:rPr>
      </w:pPr>
      <w:r w:rsidRPr="00D86BD4">
        <w:rPr>
          <w:szCs w:val="18"/>
        </w:rPr>
        <w:t>b)</w:t>
      </w:r>
      <w:r w:rsidRPr="00D86BD4">
        <w:rPr>
          <w:szCs w:val="18"/>
        </w:rPr>
        <w:tab/>
      </w:r>
      <w:r w:rsidR="00D86BD4" w:rsidRPr="00D86BD4">
        <w:rPr>
          <w:rFonts w:cs="Arial"/>
          <w:szCs w:val="18"/>
        </w:rPr>
        <w:t>Pokud Klient uhradí část jistiny Úvěru předčasně nebo pokud Klient splatí kte</w:t>
      </w:r>
      <w:r w:rsidR="00D86BD4">
        <w:rPr>
          <w:rFonts w:cs="Arial"/>
          <w:szCs w:val="18"/>
        </w:rPr>
        <w:t>roukoli splátku jistiny Úvěru v </w:t>
      </w:r>
      <w:r w:rsidR="00D86BD4" w:rsidRPr="00D86BD4">
        <w:rPr>
          <w:rFonts w:cs="Arial"/>
          <w:szCs w:val="18"/>
        </w:rPr>
        <w:t>částce vyšší, než je sjednáno ve Splátkovém plánu (dále jen „Předčasné splacení“) a není sjednána Strukturovaná sazba, zkracuje se lhůta pro splácení jistiny Úvěru podle</w:t>
      </w:r>
      <w:r w:rsidR="00D86BD4">
        <w:rPr>
          <w:rFonts w:cs="Arial"/>
          <w:szCs w:val="18"/>
        </w:rPr>
        <w:t xml:space="preserve"> sjednaného Splátkového plánu o </w:t>
      </w:r>
      <w:r w:rsidR="00D86BD4" w:rsidRPr="00D86BD4">
        <w:rPr>
          <w:rFonts w:cs="Arial"/>
          <w:szCs w:val="18"/>
        </w:rPr>
        <w:t>splátky v rozsahu Předčasného splacení a/nebo se poslední splátka (dohodnuté nebo zkrácené lhůty) poměrně sníží</w:t>
      </w:r>
      <w:r w:rsidRPr="00D86BD4">
        <w:rPr>
          <w:szCs w:val="18"/>
        </w:rPr>
        <w:t>.</w:t>
      </w:r>
    </w:p>
    <w:p w:rsidR="001D5479" w:rsidRPr="008C4B06" w:rsidRDefault="001D5479" w:rsidP="00510103">
      <w:pPr>
        <w:pStyle w:val="Nadpis2"/>
        <w:rPr>
          <w:rFonts w:cs="Arial"/>
        </w:rPr>
      </w:pPr>
      <w:r w:rsidRPr="008C4B06">
        <w:rPr>
          <w:rFonts w:cs="Arial"/>
        </w:rPr>
        <w:lastRenderedPageBreak/>
        <w:t>V Období splácení je Klient povinen hradit Bance úroky z</w:t>
      </w:r>
      <w:r w:rsidR="007661E7" w:rsidRPr="008C4B06">
        <w:rPr>
          <w:rFonts w:cs="Arial"/>
        </w:rPr>
        <w:t xml:space="preserve"> </w:t>
      </w:r>
      <w:r w:rsidRPr="008C4B06">
        <w:rPr>
          <w:rFonts w:cs="Arial"/>
        </w:rPr>
        <w:t xml:space="preserve">jistiny Úvěru ve výši, vypočítané na základě úrokové sazby stanovené podle odstavce </w:t>
      </w:r>
      <w:r w:rsidR="00277B1A" w:rsidRPr="008C4B06">
        <w:rPr>
          <w:rFonts w:cs="Arial"/>
        </w:rPr>
        <w:fldChar w:fldCharType="begin"/>
      </w:r>
      <w:r w:rsidR="00277B1A" w:rsidRPr="008C4B06">
        <w:rPr>
          <w:rFonts w:cs="Arial"/>
        </w:rPr>
        <w:instrText xml:space="preserve"> REF _Ref300576431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2.4</w:t>
      </w:r>
      <w:r w:rsidR="00277B1A" w:rsidRPr="008C4B06">
        <w:rPr>
          <w:rFonts w:cs="Arial"/>
        </w:rPr>
        <w:fldChar w:fldCharType="end"/>
      </w:r>
      <w:r w:rsidR="00277B1A" w:rsidRPr="008C4B06">
        <w:rPr>
          <w:rFonts w:cs="Arial"/>
        </w:rPr>
        <w:t xml:space="preserve"> </w:t>
      </w:r>
      <w:r w:rsidRPr="008C4B06">
        <w:rPr>
          <w:rFonts w:cs="Arial"/>
        </w:rPr>
        <w:t xml:space="preserve">nebo na základě úrokové sazby stanovené podle článku </w:t>
      </w:r>
      <w:r w:rsidR="00277B1A" w:rsidRPr="008C4B06">
        <w:rPr>
          <w:rFonts w:cs="Arial"/>
        </w:rPr>
        <w:fldChar w:fldCharType="begin"/>
      </w:r>
      <w:r w:rsidR="00277B1A" w:rsidRPr="008C4B06">
        <w:rPr>
          <w:rFonts w:cs="Arial"/>
        </w:rPr>
        <w:instrText xml:space="preserve"> REF _Ref287425841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5</w:t>
      </w:r>
      <w:r w:rsidR="00277B1A" w:rsidRPr="008C4B06">
        <w:rPr>
          <w:rFonts w:cs="Arial"/>
        </w:rPr>
        <w:fldChar w:fldCharType="end"/>
      </w:r>
      <w:r w:rsidRPr="008C4B06">
        <w:rPr>
          <w:rFonts w:cs="Arial"/>
        </w:rPr>
        <w:t xml:space="preserve"> až</w:t>
      </w:r>
      <w:r w:rsidR="00277B1A" w:rsidRPr="008C4B06">
        <w:rPr>
          <w:rFonts w:cs="Arial"/>
        </w:rPr>
        <w:t xml:space="preserve"> </w:t>
      </w:r>
      <w:r w:rsidR="00277B1A" w:rsidRPr="008C4B06">
        <w:rPr>
          <w:rFonts w:cs="Arial"/>
        </w:rPr>
        <w:fldChar w:fldCharType="begin"/>
      </w:r>
      <w:r w:rsidR="00277B1A" w:rsidRPr="008C4B06">
        <w:rPr>
          <w:rFonts w:cs="Arial"/>
        </w:rPr>
        <w:instrText xml:space="preserve"> REF _Ref287425864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w:t>
      </w:r>
      <w:r w:rsidR="00277B1A" w:rsidRPr="008C4B06">
        <w:rPr>
          <w:rFonts w:cs="Arial"/>
        </w:rPr>
        <w:fldChar w:fldCharType="end"/>
      </w:r>
      <w:r w:rsidRPr="008C4B06">
        <w:rPr>
          <w:rFonts w:cs="Arial"/>
        </w:rPr>
        <w:t>, způsobem uvedeným v</w:t>
      </w:r>
      <w:r w:rsidR="00277B1A" w:rsidRPr="008C4B06">
        <w:rPr>
          <w:rFonts w:cs="Arial"/>
        </w:rPr>
        <w:t> </w:t>
      </w:r>
      <w:r w:rsidRPr="008C4B06">
        <w:rPr>
          <w:rFonts w:cs="Arial"/>
        </w:rPr>
        <w:t>odstavci</w:t>
      </w:r>
      <w:r w:rsidR="00277B1A" w:rsidRPr="008C4B06">
        <w:rPr>
          <w:rFonts w:cs="Arial"/>
        </w:rPr>
        <w:t xml:space="preserve"> </w:t>
      </w:r>
      <w:r w:rsidR="00277B1A" w:rsidRPr="008C4B06">
        <w:rPr>
          <w:rFonts w:cs="Arial"/>
        </w:rPr>
        <w:fldChar w:fldCharType="begin"/>
      </w:r>
      <w:r w:rsidR="00277B1A" w:rsidRPr="008C4B06">
        <w:rPr>
          <w:rFonts w:cs="Arial"/>
        </w:rPr>
        <w:instrText xml:space="preserve"> REF _Ref300576756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4.3</w:t>
      </w:r>
      <w:r w:rsidR="00277B1A" w:rsidRPr="008C4B06">
        <w:rPr>
          <w:rFonts w:cs="Arial"/>
        </w:rPr>
        <w:fldChar w:fldCharType="end"/>
      </w:r>
      <w:r w:rsidRPr="008C4B06">
        <w:rPr>
          <w:rFonts w:cs="Arial"/>
        </w:rPr>
        <w:t>. Klient se zavazuje splácet úroky v souladu se Splátkovým plánem.</w:t>
      </w:r>
    </w:p>
    <w:p w:rsidR="007547E1" w:rsidRPr="008C4B06" w:rsidRDefault="001D5479" w:rsidP="00510103">
      <w:pPr>
        <w:pStyle w:val="Nadpis2"/>
        <w:rPr>
          <w:rFonts w:cs="Arial"/>
        </w:rPr>
      </w:pPr>
      <w:bookmarkStart w:id="16" w:name="_Ref300576756"/>
      <w:r w:rsidRPr="008C4B06">
        <w:rPr>
          <w:rFonts w:cs="Arial"/>
        </w:rPr>
        <w:t xml:space="preserve">Banka je oprávněna provádět úhradu splátek jistiny Úvěru, úroků a cen převodem z účtu Klienta číslo: </w:t>
      </w:r>
      <w:r w:rsidR="007C7D9C">
        <w:rPr>
          <w:rFonts w:cs="Arial"/>
          <w:b/>
        </w:rPr>
        <w:t>13604</w:t>
      </w:r>
      <w:r w:rsidR="00E17746">
        <w:rPr>
          <w:rFonts w:cs="Arial"/>
          <w:b/>
        </w:rPr>
        <w:t>-</w:t>
      </w:r>
      <w:r w:rsidR="007C7D9C">
        <w:rPr>
          <w:rFonts w:cs="Arial"/>
          <w:b/>
        </w:rPr>
        <w:t>671</w:t>
      </w:r>
      <w:r w:rsidR="00E17746" w:rsidRPr="00E17746">
        <w:rPr>
          <w:rStyle w:val="NapovedaChar"/>
          <w:rFonts w:cs="Arial"/>
          <w:b/>
          <w:vanish w:val="0"/>
          <w:color w:val="auto"/>
          <w:sz w:val="18"/>
          <w:szCs w:val="18"/>
        </w:rPr>
        <w:t>/0100</w:t>
      </w:r>
      <w:r w:rsidR="00277B1A" w:rsidRPr="008C4B06">
        <w:rPr>
          <w:rFonts w:cs="Arial"/>
        </w:rPr>
        <w:t xml:space="preserve"> </w:t>
      </w:r>
      <w:r w:rsidRPr="008C4B06">
        <w:rPr>
          <w:rFonts w:cs="Arial"/>
        </w:rPr>
        <w:t xml:space="preserve">v </w:t>
      </w:r>
      <w:r w:rsidR="007C7D9C">
        <w:rPr>
          <w:rFonts w:cs="Arial"/>
          <w:b/>
        </w:rPr>
        <w:t>Kč</w:t>
      </w:r>
      <w:r w:rsidR="00277B1A" w:rsidRPr="008C4B06">
        <w:rPr>
          <w:rFonts w:cs="Arial"/>
        </w:rPr>
        <w:t xml:space="preserve"> </w:t>
      </w:r>
      <w:r w:rsidRPr="008C4B06">
        <w:rPr>
          <w:rFonts w:cs="Arial"/>
        </w:rPr>
        <w:t xml:space="preserve">u obchodního místa Banky </w:t>
      </w:r>
      <w:r w:rsidR="007C7D9C">
        <w:rPr>
          <w:rFonts w:cs="Arial"/>
          <w:b/>
        </w:rPr>
        <w:t>pobočka Veselí nad Moravou, Svatoplukova 654, 698 01 Veselí nad Moravou</w:t>
      </w:r>
      <w:r w:rsidR="00277B1A" w:rsidRPr="008C4B06">
        <w:rPr>
          <w:rFonts w:cs="Arial"/>
        </w:rPr>
        <w:t xml:space="preserve"> </w:t>
      </w:r>
      <w:r w:rsidRPr="008C4B06">
        <w:rPr>
          <w:rFonts w:cs="Arial"/>
        </w:rPr>
        <w:t>(dále jen „</w:t>
      </w:r>
      <w:r w:rsidRPr="008C4B06">
        <w:rPr>
          <w:rFonts w:cs="Arial"/>
          <w:b/>
          <w:bCs/>
        </w:rPr>
        <w:t>Běžný účet</w:t>
      </w:r>
      <w:r w:rsidRPr="008C4B06">
        <w:rPr>
          <w:rFonts w:cs="Arial"/>
        </w:rPr>
        <w:t>“) bez dalšího souhlasu Klienta. Klient se zavazuje zajistit, aby v Den splatnosti byly na Běžném účtu prostředky odpovídající výši splatné jistiny Úvěru, popřípadě splatných úroků a cen.</w:t>
      </w:r>
      <w:bookmarkEnd w:id="16"/>
    </w:p>
    <w:p w:rsidR="0030100D" w:rsidRPr="008C4B06" w:rsidRDefault="0061091A" w:rsidP="00510103">
      <w:pPr>
        <w:spacing w:after="120"/>
        <w:ind w:left="425"/>
        <w:rPr>
          <w:rFonts w:cs="Arial"/>
        </w:rPr>
      </w:pPr>
      <w:r w:rsidRPr="0071478F">
        <w:rPr>
          <w:rFonts w:cs="Arial"/>
        </w:rPr>
        <w:t>Pokud nebude možné provést úhradu splatných dluhů Klienta způsobem uvedeným v předcházejícím odstavci, je Klient povinen provést úhradu svých splatných dluhů Bance jakoukoliv</w:t>
      </w:r>
      <w:r w:rsidRPr="008C4B06">
        <w:rPr>
          <w:rFonts w:cs="Arial"/>
        </w:rPr>
        <w:t xml:space="preserve"> jinou formou. V takovém případě je Klient povinen předem dohodnout s Bankou identifikaci účtu, na který bude úhrada směrována</w:t>
      </w:r>
      <w:r w:rsidR="001D5479" w:rsidRPr="008C4B06">
        <w:rPr>
          <w:rFonts w:cs="Arial"/>
        </w:rPr>
        <w:t>.</w:t>
      </w:r>
    </w:p>
    <w:p w:rsidR="001D5479" w:rsidRPr="008C4B06" w:rsidRDefault="002A02E8" w:rsidP="00510103">
      <w:pPr>
        <w:pStyle w:val="Nadpis1"/>
        <w:rPr>
          <w:rFonts w:cs="Arial"/>
        </w:rPr>
      </w:pPr>
      <w:bookmarkStart w:id="17" w:name="_Ref287425841"/>
      <w:r w:rsidRPr="008C4B06">
        <w:rPr>
          <w:rFonts w:cs="Arial"/>
        </w:rPr>
        <w:t>Změna způsobu úročení</w:t>
      </w:r>
      <w:bookmarkEnd w:id="17"/>
    </w:p>
    <w:p w:rsidR="001D5479" w:rsidRPr="008C4B06" w:rsidRDefault="002A02E8" w:rsidP="00510103">
      <w:pPr>
        <w:pStyle w:val="Nadpis2"/>
        <w:rPr>
          <w:rFonts w:cs="Arial"/>
        </w:rPr>
      </w:pPr>
      <w:bookmarkStart w:id="18" w:name="_Ref300577791"/>
      <w:r w:rsidRPr="008C4B06">
        <w:rPr>
          <w:rFonts w:cs="Arial"/>
        </w:rPr>
        <w:t xml:space="preserve">Způsob úročení stanovený pro Období splácení v odstavci </w:t>
      </w:r>
      <w:r w:rsidR="00277B1A" w:rsidRPr="008C4B06">
        <w:rPr>
          <w:rFonts w:cs="Arial"/>
        </w:rPr>
        <w:fldChar w:fldCharType="begin"/>
      </w:r>
      <w:r w:rsidR="00277B1A" w:rsidRPr="008C4B06">
        <w:rPr>
          <w:rFonts w:cs="Arial"/>
        </w:rPr>
        <w:instrText xml:space="preserve"> REF _Ref300576431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2.4</w:t>
      </w:r>
      <w:r w:rsidR="00277B1A" w:rsidRPr="008C4B06">
        <w:rPr>
          <w:rFonts w:cs="Arial"/>
        </w:rPr>
        <w:fldChar w:fldCharType="end"/>
      </w:r>
      <w:r w:rsidR="00277B1A" w:rsidRPr="008C4B06">
        <w:rPr>
          <w:rFonts w:cs="Arial"/>
        </w:rPr>
        <w:t xml:space="preserve"> </w:t>
      </w:r>
      <w:r w:rsidRPr="008C4B06">
        <w:rPr>
          <w:rFonts w:cs="Arial"/>
        </w:rPr>
        <w:t>lze dohodou smluvních stran změnit následujícími způsoby:</w:t>
      </w:r>
      <w:bookmarkEnd w:id="18"/>
    </w:p>
    <w:p w:rsidR="001D5479" w:rsidRPr="008C4B06" w:rsidRDefault="002A02E8" w:rsidP="00510103">
      <w:pPr>
        <w:pStyle w:val="Nadpis3"/>
        <w:rPr>
          <w:rFonts w:cs="Arial"/>
        </w:rPr>
      </w:pPr>
      <w:r w:rsidRPr="008C4B06">
        <w:rPr>
          <w:rFonts w:cs="Arial"/>
        </w:rPr>
        <w:t>změnou Typu Referenční sazby uvedené v</w:t>
      </w:r>
      <w:r w:rsidR="00277B1A" w:rsidRPr="008C4B06">
        <w:rPr>
          <w:rFonts w:cs="Arial"/>
        </w:rPr>
        <w:t> </w:t>
      </w:r>
      <w:r w:rsidRPr="008C4B06">
        <w:rPr>
          <w:rFonts w:cs="Arial"/>
        </w:rPr>
        <w:t>odstavci</w:t>
      </w:r>
      <w:r w:rsidR="00277B1A" w:rsidRPr="008C4B06">
        <w:rPr>
          <w:rFonts w:cs="Arial"/>
        </w:rPr>
        <w:t xml:space="preserve"> </w:t>
      </w:r>
      <w:r w:rsidR="00277B1A" w:rsidRPr="008C4B06">
        <w:rPr>
          <w:rFonts w:cs="Arial"/>
        </w:rPr>
        <w:fldChar w:fldCharType="begin"/>
      </w:r>
      <w:r w:rsidR="00277B1A" w:rsidRPr="008C4B06">
        <w:rPr>
          <w:rFonts w:cs="Arial"/>
        </w:rPr>
        <w:instrText xml:space="preserve"> REF _Ref300576431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2.4</w:t>
      </w:r>
      <w:r w:rsidR="00277B1A" w:rsidRPr="008C4B06">
        <w:rPr>
          <w:rFonts w:cs="Arial"/>
        </w:rPr>
        <w:fldChar w:fldCharType="end"/>
      </w:r>
      <w:r w:rsidRPr="008C4B06">
        <w:rPr>
          <w:rFonts w:cs="Arial"/>
        </w:rPr>
        <w:t>, nebo</w:t>
      </w:r>
    </w:p>
    <w:p w:rsidR="001D5479" w:rsidRPr="008C4B06" w:rsidRDefault="002A02E8" w:rsidP="00510103">
      <w:pPr>
        <w:pStyle w:val="Nadpis3"/>
        <w:spacing w:after="120"/>
        <w:ind w:left="850" w:hanging="425"/>
        <w:rPr>
          <w:rFonts w:cs="Arial"/>
        </w:rPr>
      </w:pPr>
      <w:r w:rsidRPr="008C4B06">
        <w:rPr>
          <w:rFonts w:cs="Arial"/>
        </w:rPr>
        <w:t>změnou Pohyblivé sazby na Strukturovanou sazbu.</w:t>
      </w:r>
    </w:p>
    <w:p w:rsidR="001D5479" w:rsidRPr="008C4B06" w:rsidRDefault="002A02E8" w:rsidP="00510103">
      <w:pPr>
        <w:pStyle w:val="Nadpis2"/>
        <w:rPr>
          <w:rFonts w:cs="Arial"/>
        </w:rPr>
      </w:pPr>
      <w:r w:rsidRPr="008C4B06">
        <w:rPr>
          <w:rFonts w:cs="Arial"/>
        </w:rPr>
        <w:t xml:space="preserve">Pokud </w:t>
      </w:r>
      <w:r w:rsidR="0061091A">
        <w:rPr>
          <w:rFonts w:cs="Arial"/>
        </w:rPr>
        <w:t>tato</w:t>
      </w:r>
      <w:r w:rsidRPr="008C4B06">
        <w:rPr>
          <w:rFonts w:cs="Arial"/>
        </w:rPr>
        <w:t xml:space="preserve"> Smlouva nebo dohoda smluvních stran nestanoví jinak, za změny způsobu úročení podle odstavce </w:t>
      </w:r>
      <w:r w:rsidR="00277B1A" w:rsidRPr="008C4B06">
        <w:rPr>
          <w:rFonts w:cs="Arial"/>
        </w:rPr>
        <w:fldChar w:fldCharType="begin"/>
      </w:r>
      <w:r w:rsidR="00277B1A" w:rsidRPr="008C4B06">
        <w:rPr>
          <w:rFonts w:cs="Arial"/>
        </w:rPr>
        <w:instrText xml:space="preserve"> REF _Ref300577791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5.1</w:t>
      </w:r>
      <w:r w:rsidR="00277B1A" w:rsidRPr="008C4B06">
        <w:rPr>
          <w:rFonts w:cs="Arial"/>
        </w:rPr>
        <w:fldChar w:fldCharType="end"/>
      </w:r>
      <w:r w:rsidR="00277B1A" w:rsidRPr="008C4B06">
        <w:rPr>
          <w:rFonts w:cs="Arial"/>
        </w:rPr>
        <w:t xml:space="preserve"> </w:t>
      </w:r>
      <w:r w:rsidRPr="008C4B06">
        <w:rPr>
          <w:rFonts w:cs="Arial"/>
        </w:rPr>
        <w:t>se nesjednává žádná cena.</w:t>
      </w:r>
    </w:p>
    <w:p w:rsidR="001D5479" w:rsidRPr="008C4B06" w:rsidRDefault="002A02E8" w:rsidP="00510103">
      <w:pPr>
        <w:pStyle w:val="Nadpis1"/>
        <w:rPr>
          <w:rFonts w:cs="Arial"/>
        </w:rPr>
      </w:pPr>
      <w:r w:rsidRPr="008C4B06">
        <w:rPr>
          <w:rFonts w:cs="Arial"/>
        </w:rPr>
        <w:t xml:space="preserve">Změna </w:t>
      </w:r>
      <w:r w:rsidR="0061091A">
        <w:rPr>
          <w:rFonts w:cs="Arial"/>
        </w:rPr>
        <w:t>t</w:t>
      </w:r>
      <w:r w:rsidRPr="008C4B06">
        <w:rPr>
          <w:rFonts w:cs="Arial"/>
        </w:rPr>
        <w:t xml:space="preserve">ypu </w:t>
      </w:r>
      <w:r w:rsidR="0061091A">
        <w:rPr>
          <w:rFonts w:cs="Arial"/>
        </w:rPr>
        <w:t>r</w:t>
      </w:r>
      <w:r w:rsidRPr="008C4B06">
        <w:rPr>
          <w:rFonts w:cs="Arial"/>
        </w:rPr>
        <w:t>eferenční sazby</w:t>
      </w:r>
    </w:p>
    <w:p w:rsidR="001D5479" w:rsidRPr="008C4B06" w:rsidRDefault="002A02E8" w:rsidP="00510103">
      <w:pPr>
        <w:pStyle w:val="Nadpis2"/>
        <w:rPr>
          <w:rFonts w:cs="Arial"/>
        </w:rPr>
      </w:pPr>
      <w:r w:rsidRPr="008C4B06">
        <w:rPr>
          <w:rFonts w:cs="Arial"/>
        </w:rPr>
        <w:t>Klient je oprávněn kdykoli písemně požádat Banku o změnu Typu Referenční sazby. Banka se zavazuje žádosti Klienta vyhovět za předpokladu, že budou dodrženy všechny následující podmínky:</w:t>
      </w:r>
    </w:p>
    <w:p w:rsidR="002A02E8" w:rsidRPr="008C4B06" w:rsidRDefault="002A02E8" w:rsidP="00510103">
      <w:pPr>
        <w:pStyle w:val="Nadpis3"/>
        <w:rPr>
          <w:rFonts w:cs="Arial"/>
        </w:rPr>
      </w:pPr>
      <w:r w:rsidRPr="008C4B06">
        <w:rPr>
          <w:rFonts w:cs="Arial"/>
        </w:rPr>
        <w:t>Klient v žádosti uvede registrační číslo Smlouvy</w:t>
      </w:r>
      <w:r w:rsidR="00481539" w:rsidRPr="008C4B06">
        <w:rPr>
          <w:rFonts w:cs="Arial"/>
        </w:rPr>
        <w:t>,</w:t>
      </w:r>
    </w:p>
    <w:p w:rsidR="002A02E8" w:rsidRPr="008C4B06" w:rsidRDefault="002A02E8" w:rsidP="00510103">
      <w:pPr>
        <w:pStyle w:val="Nadpis3"/>
        <w:rPr>
          <w:rFonts w:cs="Arial"/>
        </w:rPr>
      </w:pPr>
      <w:r w:rsidRPr="008C4B06">
        <w:rPr>
          <w:rFonts w:cs="Arial"/>
        </w:rPr>
        <w:t>Klient v žádosti uvede nově požadovaný Typ Referenční sazby a požadované datum její účinnosti, které je shodné s datem posledního dne Úrokovacího období, a</w:t>
      </w:r>
    </w:p>
    <w:p w:rsidR="002A02E8" w:rsidRPr="008C4B06" w:rsidRDefault="002A02E8" w:rsidP="00510103">
      <w:pPr>
        <w:pStyle w:val="Nadpis3"/>
        <w:spacing w:after="120"/>
        <w:ind w:left="850" w:hanging="425"/>
        <w:rPr>
          <w:rFonts w:cs="Arial"/>
        </w:rPr>
      </w:pPr>
      <w:r w:rsidRPr="008C4B06">
        <w:rPr>
          <w:rFonts w:cs="Arial"/>
        </w:rPr>
        <w:t>žádost Klienta bude doručena Bance nejpozději tři (3) Obchodní dny před požadovaným dnem účinnosti nového Typu Referenční sazby.</w:t>
      </w:r>
    </w:p>
    <w:p w:rsidR="002A02E8" w:rsidRPr="008C4B06" w:rsidRDefault="002A02E8" w:rsidP="00510103">
      <w:pPr>
        <w:pStyle w:val="Nadpis2"/>
        <w:rPr>
          <w:rFonts w:cs="Arial"/>
        </w:rPr>
      </w:pPr>
      <w:r w:rsidRPr="008C4B06">
        <w:rPr>
          <w:rFonts w:cs="Arial"/>
        </w:rPr>
        <w:t>Změna Typu Referenční sazby je účinná k poslednímu dni příslušného Úrokovacího období a je platná po celou zbývající dobu účinnosti Smlouvy, nedojde-li k nové změně Typu Referenční sazby nebo změně Pohyblivé sazby na Strukturovanou sazbu.</w:t>
      </w:r>
    </w:p>
    <w:p w:rsidR="00754137" w:rsidRPr="008C4B06" w:rsidRDefault="00754137" w:rsidP="00510103">
      <w:pPr>
        <w:pStyle w:val="Nadpis2"/>
        <w:rPr>
          <w:rFonts w:cs="Arial"/>
        </w:rPr>
      </w:pPr>
      <w:r w:rsidRPr="008C4B06">
        <w:rPr>
          <w:rFonts w:cs="Arial"/>
        </w:rPr>
        <w:t>Počínaje dnem účinnosti změny Typu Referenční sazby se mění splatnost úroku z jistiny Úvěru uvedená ve Splátkovém plánu tak, že úroky budou hrazeny vždy k poslednímu dni příslušného Úrokovacího období, nedohodnou-li se strany jinak. Banka bezodkladně zašle Klientovi Splátkový plán s nově platnými termíny splatnosti úroků.</w:t>
      </w:r>
    </w:p>
    <w:p w:rsidR="002A02E8" w:rsidRPr="008C4B06" w:rsidRDefault="002A02E8" w:rsidP="00510103">
      <w:pPr>
        <w:pStyle w:val="Nadpis2"/>
        <w:rPr>
          <w:rFonts w:cs="Arial"/>
        </w:rPr>
      </w:pPr>
      <w:r w:rsidRPr="008C4B06">
        <w:rPr>
          <w:rFonts w:cs="Arial"/>
        </w:rPr>
        <w:t xml:space="preserve">Banka je oprávněna žádosti Klienta nevyhovět v případě, že ke dni doručení žádosti Klienta nebo kdykoli poté až do požadovaného dne účinnosti nového Typu Referenční sazby </w:t>
      </w:r>
      <w:r w:rsidRPr="008C4B06">
        <w:rPr>
          <w:rFonts w:cs="Arial"/>
          <w:spacing w:val="-3"/>
        </w:rPr>
        <w:t>nastane nebo hrozí Případ porušení.</w:t>
      </w:r>
    </w:p>
    <w:p w:rsidR="001D5479" w:rsidRPr="008C4B06" w:rsidRDefault="00481539" w:rsidP="00510103">
      <w:pPr>
        <w:pStyle w:val="Nadpis1"/>
        <w:rPr>
          <w:rFonts w:cs="Arial"/>
        </w:rPr>
      </w:pPr>
      <w:bookmarkStart w:id="19" w:name="_Ref287425864"/>
      <w:r w:rsidRPr="008C4B06">
        <w:rPr>
          <w:rFonts w:cs="Arial"/>
        </w:rPr>
        <w:t xml:space="preserve">Změna </w:t>
      </w:r>
      <w:r w:rsidR="0061091A">
        <w:rPr>
          <w:rFonts w:cs="Arial"/>
        </w:rPr>
        <w:t>p</w:t>
      </w:r>
      <w:r w:rsidRPr="008C4B06">
        <w:rPr>
          <w:rFonts w:cs="Arial"/>
        </w:rPr>
        <w:t xml:space="preserve">ohyblivé sazby na </w:t>
      </w:r>
      <w:r w:rsidR="0061091A">
        <w:rPr>
          <w:rFonts w:cs="Arial"/>
        </w:rPr>
        <w:t>s</w:t>
      </w:r>
      <w:r w:rsidRPr="008C4B06">
        <w:rPr>
          <w:rFonts w:cs="Arial"/>
        </w:rPr>
        <w:t>trukturovanou sazbu</w:t>
      </w:r>
      <w:bookmarkEnd w:id="19"/>
    </w:p>
    <w:p w:rsidR="00481539" w:rsidRPr="008C4B06" w:rsidRDefault="00481539" w:rsidP="00510103">
      <w:pPr>
        <w:pStyle w:val="Nadpis2"/>
        <w:rPr>
          <w:rFonts w:cs="Arial"/>
        </w:rPr>
      </w:pPr>
      <w:r w:rsidRPr="008C4B06">
        <w:rPr>
          <w:rFonts w:cs="Arial"/>
        </w:rPr>
        <w:t>Klient je oprávněn kdykoli telefonicky požádat Banku o změnu Pohyblivé sazby na Strukturovan</w:t>
      </w:r>
      <w:r w:rsidR="00754137" w:rsidRPr="008C4B06">
        <w:rPr>
          <w:rFonts w:cs="Arial"/>
        </w:rPr>
        <w:t>ou</w:t>
      </w:r>
      <w:r w:rsidRPr="008C4B06">
        <w:rPr>
          <w:rFonts w:cs="Arial"/>
        </w:rPr>
        <w:t xml:space="preserve"> sazb</w:t>
      </w:r>
      <w:r w:rsidR="00754137" w:rsidRPr="008C4B06">
        <w:rPr>
          <w:rFonts w:cs="Arial"/>
        </w:rPr>
        <w:t>u</w:t>
      </w:r>
      <w:r w:rsidRPr="008C4B06">
        <w:rPr>
          <w:rFonts w:cs="Arial"/>
        </w:rPr>
        <w:t>. Banka pak navrhne Klientovi stejným způsobem podmínky takové změny. Banka žádosti Klienta nevyhoví, pokud zejména vzhledem k charakteru žádosti, aktuálnímu stavu příslušného Úvěru nebo aktuálnímu dění na finančních trzích není schopna podmínky navrhnout. Banka žádosti Klienta rovněž nevyhoví, pokud nastal nebo hrozí Případ porušení.</w:t>
      </w:r>
    </w:p>
    <w:p w:rsidR="00481539" w:rsidRPr="008C4B06" w:rsidRDefault="00481539" w:rsidP="00510103">
      <w:pPr>
        <w:pStyle w:val="Nadpis2"/>
        <w:rPr>
          <w:rFonts w:cs="Arial"/>
        </w:rPr>
      </w:pPr>
      <w:r w:rsidRPr="008C4B06">
        <w:rPr>
          <w:rFonts w:cs="Arial"/>
        </w:rPr>
        <w:t xml:space="preserve">Banka navrhuje podmínky Strukturované sazby na bázi tržní ceny úrokového swapu mezi aktuálně platným Typem Referenční sazby a požadovaným </w:t>
      </w:r>
      <w:r w:rsidR="00754137" w:rsidRPr="008C4B06">
        <w:rPr>
          <w:rFonts w:cs="Arial"/>
        </w:rPr>
        <w:t>T</w:t>
      </w:r>
      <w:r w:rsidRPr="008C4B06">
        <w:rPr>
          <w:rFonts w:cs="Arial"/>
        </w:rPr>
        <w:t>ypem Strukturované sazby, přičemž postupuje vždy s odbornou péčí a s přihlédnutím k aktuálně platnému Splátkovému plánu pro období uplatňování Strukturované sazby.</w:t>
      </w:r>
    </w:p>
    <w:p w:rsidR="00481539" w:rsidRPr="008C4B06" w:rsidRDefault="00481539" w:rsidP="00510103">
      <w:pPr>
        <w:pStyle w:val="Nadpis2"/>
        <w:rPr>
          <w:rFonts w:cs="Arial"/>
        </w:rPr>
      </w:pPr>
      <w:bookmarkStart w:id="20" w:name="_Ref300578050"/>
      <w:r w:rsidRPr="008C4B06">
        <w:rPr>
          <w:rFonts w:cs="Arial"/>
        </w:rPr>
        <w:t>Změna Pohyblivé sazby na Strukturovanou sazbu bude platně sjednána, jestliže se Banka a Klient telefonicky dohodnou na datu nabytí účinnosti, na době uplatňování a na parametrech Strukturované sazby.</w:t>
      </w:r>
      <w:bookmarkStart w:id="21" w:name="_Ref287448400"/>
      <w:r w:rsidR="009E6CB7">
        <w:rPr>
          <w:rFonts w:cs="Arial"/>
        </w:rPr>
        <w:t xml:space="preserve"> </w:t>
      </w:r>
      <w:r w:rsidRPr="008C4B06">
        <w:rPr>
          <w:rFonts w:cs="Arial"/>
        </w:rPr>
        <w:t>Telefonické linky, na kterých je možné takovou dohodu uzavřít, jsou uvedeny v Příloze č. 3.</w:t>
      </w:r>
      <w:bookmarkEnd w:id="20"/>
      <w:bookmarkEnd w:id="21"/>
    </w:p>
    <w:p w:rsidR="00481539" w:rsidRPr="008C4B06" w:rsidRDefault="00481539" w:rsidP="00510103">
      <w:pPr>
        <w:pStyle w:val="Nadpis2"/>
        <w:rPr>
          <w:rFonts w:cs="Arial"/>
        </w:rPr>
      </w:pPr>
      <w:bookmarkStart w:id="22" w:name="_Ref287428758"/>
      <w:r w:rsidRPr="008C4B06">
        <w:rPr>
          <w:rFonts w:cs="Arial"/>
        </w:rPr>
        <w:t>Sjednání podmínek Strukturované sazby Banka následně Klientovi potvrdí zasláním potvrzení o Strukturované sazbě (dále jen „</w:t>
      </w:r>
      <w:r w:rsidRPr="008C4B06">
        <w:rPr>
          <w:rFonts w:cs="Arial"/>
          <w:b/>
        </w:rPr>
        <w:t>Potvrzení</w:t>
      </w:r>
      <w:r w:rsidRPr="008C4B06">
        <w:rPr>
          <w:rFonts w:cs="Arial"/>
        </w:rPr>
        <w:t>“). Klient se zavazuje Potvrzení zkontrolovat, zda věcně odpovídá sjednané dohodě, a bez zbytečného odkladu jej Bance odeslat dohodnutým způsobem zpět potvrzené, popřípadě ihned telefonicky informovat Banku o nesrovnalostech.</w:t>
      </w:r>
      <w:bookmarkEnd w:id="22"/>
    </w:p>
    <w:p w:rsidR="00481539" w:rsidRPr="008C4B06" w:rsidRDefault="0061091A" w:rsidP="00510103">
      <w:pPr>
        <w:pStyle w:val="Nadpis2"/>
        <w:rPr>
          <w:rFonts w:cs="Arial"/>
        </w:rPr>
      </w:pPr>
      <w:bookmarkStart w:id="23" w:name="_Ref287448332"/>
      <w:r>
        <w:rPr>
          <w:rFonts w:cs="Arial"/>
        </w:rPr>
        <w:lastRenderedPageBreak/>
        <w:t>Za smluvní</w:t>
      </w:r>
      <w:r w:rsidR="00481539" w:rsidRPr="008C4B06">
        <w:rPr>
          <w:rFonts w:cs="Arial"/>
        </w:rPr>
        <w:t xml:space="preserve"> stran</w:t>
      </w:r>
      <w:r>
        <w:rPr>
          <w:rFonts w:cs="Arial"/>
        </w:rPr>
        <w:t>y</w:t>
      </w:r>
      <w:r w:rsidR="00481539" w:rsidRPr="008C4B06">
        <w:rPr>
          <w:rFonts w:cs="Arial"/>
        </w:rPr>
        <w:t xml:space="preserve"> budou sjednávat nebo měnit Strukturovanou sazbu pouze oprávněné osoby a Potvrzení budou podepisovat za Klienta pouze osoby uvedené v jeho podpisovém vzoru, který je Přílohou č. 5. Každá strana je oprávněna pořizovat zvukové záznamy telefonických rozhovorů mezi stranami týkajících se podmínek konkrétní Strukturované sazby, včetně její změny, a tyto zvukové záznamy použít jako důkaz o jejích podmínkách.</w:t>
      </w:r>
      <w:bookmarkEnd w:id="23"/>
    </w:p>
    <w:p w:rsidR="00481539" w:rsidRPr="008C4B06" w:rsidRDefault="00481539" w:rsidP="00510103">
      <w:pPr>
        <w:pStyle w:val="Nadpis2"/>
        <w:rPr>
          <w:rFonts w:cs="Arial"/>
        </w:rPr>
      </w:pPr>
      <w:bookmarkStart w:id="24" w:name="_Ref287428765"/>
      <w:r w:rsidRPr="008C4B06">
        <w:rPr>
          <w:rFonts w:cs="Arial"/>
        </w:rPr>
        <w:t>V případě sjednání Strukturované sazby oznámí Banka výši úroků splatných za příslušné Úrokovací období Klientovi bezodkladně poté, co jí bude známa, formou oznámení.</w:t>
      </w:r>
      <w:bookmarkEnd w:id="24"/>
    </w:p>
    <w:p w:rsidR="00481539" w:rsidRPr="008C4B06" w:rsidRDefault="00481539" w:rsidP="00510103">
      <w:pPr>
        <w:pStyle w:val="Nadpis2"/>
        <w:rPr>
          <w:rFonts w:cs="Arial"/>
        </w:rPr>
      </w:pPr>
      <w:r w:rsidRPr="008C4B06">
        <w:rPr>
          <w:rFonts w:cs="Arial"/>
        </w:rPr>
        <w:t>Změnou Pohyblivé sazby na Strukturovanou sazbu není dotčena pevná odchylka dle odstavce</w:t>
      </w:r>
      <w:r w:rsidR="00277B1A" w:rsidRPr="008C4B06">
        <w:rPr>
          <w:rFonts w:cs="Arial"/>
        </w:rPr>
        <w:t xml:space="preserve"> </w:t>
      </w:r>
      <w:r w:rsidR="00277B1A" w:rsidRPr="008C4B06">
        <w:rPr>
          <w:rFonts w:cs="Arial"/>
        </w:rPr>
        <w:fldChar w:fldCharType="begin"/>
      </w:r>
      <w:r w:rsidR="00277B1A" w:rsidRPr="008C4B06">
        <w:rPr>
          <w:rFonts w:cs="Arial"/>
        </w:rPr>
        <w:instrText xml:space="preserve"> REF _Ref300576431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2.4</w:t>
      </w:r>
      <w:r w:rsidR="00277B1A" w:rsidRPr="008C4B06">
        <w:rPr>
          <w:rFonts w:cs="Arial"/>
        </w:rPr>
        <w:fldChar w:fldCharType="end"/>
      </w:r>
      <w:r w:rsidR="00754137" w:rsidRPr="008C4B06">
        <w:rPr>
          <w:rFonts w:cs="Arial"/>
        </w:rPr>
        <w:t>, o kterou bude zvolený Typ Strukturované sazby dle Přílohy č. 2 vždy navýšen</w:t>
      </w:r>
      <w:r w:rsidRPr="008C4B06">
        <w:rPr>
          <w:rFonts w:cs="Arial"/>
        </w:rPr>
        <w:t xml:space="preserve">. Po uplynutí doby uplatňování Strukturované sazby bude Úvěr úročen úrokovou sazbou vypočítanou jako součet Referenční sazby a pevné odchylky dle odstavce </w:t>
      </w:r>
      <w:r w:rsidR="00277B1A" w:rsidRPr="008C4B06">
        <w:rPr>
          <w:rFonts w:cs="Arial"/>
        </w:rPr>
        <w:fldChar w:fldCharType="begin"/>
      </w:r>
      <w:r w:rsidR="00277B1A" w:rsidRPr="008C4B06">
        <w:rPr>
          <w:rFonts w:cs="Arial"/>
        </w:rPr>
        <w:instrText xml:space="preserve"> REF _Ref300576431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2.4</w:t>
      </w:r>
      <w:r w:rsidR="00277B1A" w:rsidRPr="008C4B06">
        <w:rPr>
          <w:rFonts w:cs="Arial"/>
        </w:rPr>
        <w:fldChar w:fldCharType="end"/>
      </w:r>
      <w:r w:rsidR="00277B1A" w:rsidRPr="008C4B06">
        <w:rPr>
          <w:rFonts w:cs="Arial"/>
        </w:rPr>
        <w:t xml:space="preserve"> </w:t>
      </w:r>
      <w:r w:rsidRPr="008C4B06">
        <w:rPr>
          <w:rFonts w:cs="Arial"/>
        </w:rPr>
        <w:t>s tím, že pro Referenční sazbu bude použit naposled platný Typ Referenční sazby, pokud se Banka a Klient nedohodnou jinak.</w:t>
      </w:r>
    </w:p>
    <w:p w:rsidR="001D5479" w:rsidRPr="00E06556" w:rsidRDefault="0061091A" w:rsidP="00510103">
      <w:pPr>
        <w:pStyle w:val="Nadpis1"/>
        <w:rPr>
          <w:rFonts w:cs="Arial"/>
        </w:rPr>
      </w:pPr>
      <w:r w:rsidRPr="00E06556">
        <w:rPr>
          <w:rFonts w:cs="Arial"/>
        </w:rPr>
        <w:t>Předčasné splacení nebo nedočerpání úvěru při strukturované sazbě</w:t>
      </w:r>
    </w:p>
    <w:p w:rsidR="00C53A30" w:rsidRPr="008C4B06" w:rsidRDefault="0061091A" w:rsidP="00510103">
      <w:pPr>
        <w:pStyle w:val="Nadpis2"/>
        <w:rPr>
          <w:rFonts w:cs="Arial"/>
        </w:rPr>
      </w:pPr>
      <w:bookmarkStart w:id="25" w:name="_Ref366059721"/>
      <w:r w:rsidRPr="00F26F1F">
        <w:rPr>
          <w:rFonts w:cs="Arial"/>
        </w:rPr>
        <w:t>Pokud Klient sjednal změnu Pohyblivé sazby na Strukturovanou sazbu</w:t>
      </w:r>
      <w:r>
        <w:rPr>
          <w:rFonts w:cs="Arial"/>
        </w:rPr>
        <w:t xml:space="preserve"> a následně dojde k </w:t>
      </w:r>
      <w:r w:rsidRPr="003826DA">
        <w:rPr>
          <w:rFonts w:cs="Arial"/>
        </w:rPr>
        <w:t>Předčasnému splacení</w:t>
      </w:r>
      <w:r>
        <w:rPr>
          <w:rFonts w:cs="Arial"/>
        </w:rPr>
        <w:t xml:space="preserve"> </w:t>
      </w:r>
      <w:r w:rsidRPr="008C4B06">
        <w:rPr>
          <w:rFonts w:cs="Arial"/>
        </w:rPr>
        <w:t>během</w:t>
      </w:r>
      <w:r>
        <w:rPr>
          <w:rFonts w:cs="Arial"/>
        </w:rPr>
        <w:t xml:space="preserve"> (i) </w:t>
      </w:r>
      <w:r w:rsidRPr="008C4B06">
        <w:rPr>
          <w:rFonts w:cs="Arial"/>
        </w:rPr>
        <w:t xml:space="preserve">Úrokovacího období, na které je uplatněna Strukturovaná sazba, </w:t>
      </w:r>
      <w:r>
        <w:rPr>
          <w:rFonts w:cs="Arial"/>
        </w:rPr>
        <w:t>nebo (</w:t>
      </w:r>
      <w:proofErr w:type="spellStart"/>
      <w:r>
        <w:rPr>
          <w:rFonts w:cs="Arial"/>
        </w:rPr>
        <w:t>ii</w:t>
      </w:r>
      <w:proofErr w:type="spellEnd"/>
      <w:r>
        <w:rPr>
          <w:rFonts w:cs="Arial"/>
        </w:rPr>
        <w:t xml:space="preserve">) Úrokovacího období, na které je uplatněna Pohyblivá sazba, avšak pro některé z následujících období je sjednána Strukturovaná </w:t>
      </w:r>
      <w:r w:rsidR="009E6CB7">
        <w:rPr>
          <w:rFonts w:cs="Arial"/>
        </w:rPr>
        <w:t>sazba,</w:t>
      </w:r>
      <w:r w:rsidR="009E6CB7" w:rsidRPr="00F26F1F">
        <w:rPr>
          <w:rFonts w:cs="Arial"/>
        </w:rPr>
        <w:t xml:space="preserve"> Klient</w:t>
      </w:r>
      <w:r w:rsidRPr="00F26F1F">
        <w:rPr>
          <w:rFonts w:cs="Arial"/>
        </w:rPr>
        <w:t xml:space="preserve"> </w:t>
      </w:r>
      <w:r>
        <w:rPr>
          <w:rFonts w:cs="Arial"/>
        </w:rPr>
        <w:t xml:space="preserve">je </w:t>
      </w:r>
      <w:r w:rsidRPr="00F26F1F">
        <w:rPr>
          <w:rFonts w:cs="Arial"/>
        </w:rPr>
        <w:t>povinen zaplatit Bance částku odpovídající narostlým</w:t>
      </w:r>
      <w:r w:rsidRPr="008C4B06">
        <w:rPr>
          <w:rFonts w:cs="Arial"/>
        </w:rPr>
        <w:t xml:space="preserve"> nákladům, které Banka vynaložila, nebo od Banky obdrží částku odpovídající výnosům, které Banka získala v důsledku předčasné realizace různých termínovaných finančních instrumentů použitých na krytí úrokových rizik vyplývajících pro Banku z Úvěru (dále jen „</w:t>
      </w:r>
      <w:r w:rsidRPr="008C4B06">
        <w:rPr>
          <w:rFonts w:cs="Arial"/>
          <w:b/>
        </w:rPr>
        <w:t>Částka vyrovnání</w:t>
      </w:r>
      <w:r w:rsidRPr="008C4B06">
        <w:rPr>
          <w:rFonts w:cs="Arial"/>
        </w:rPr>
        <w:t>“). Částka vyrovnání, hradí-li ji Klient, není sankcí ve prospěch Banky, nýbrž nákladem způsobeným Předčasným splacením</w:t>
      </w:r>
      <w:r>
        <w:rPr>
          <w:rFonts w:cs="Arial"/>
        </w:rPr>
        <w:t>.</w:t>
      </w:r>
      <w:bookmarkEnd w:id="25"/>
    </w:p>
    <w:p w:rsidR="0061091A" w:rsidRPr="008C4B06" w:rsidRDefault="0061091A" w:rsidP="00510103">
      <w:pPr>
        <w:pStyle w:val="Nadpis2"/>
        <w:rPr>
          <w:rFonts w:cs="Arial"/>
        </w:rPr>
      </w:pPr>
      <w:r w:rsidRPr="008C4B06">
        <w:rPr>
          <w:rFonts w:cs="Arial"/>
        </w:rPr>
        <w:t>Částka vyrovnání</w:t>
      </w:r>
      <w:r>
        <w:rPr>
          <w:rFonts w:cs="Arial"/>
        </w:rPr>
        <w:t xml:space="preserve"> se nehradí, je-li</w:t>
      </w:r>
      <w:r w:rsidR="006F5903">
        <w:rPr>
          <w:rFonts w:cs="Arial"/>
        </w:rPr>
        <w:t xml:space="preserve"> </w:t>
      </w:r>
      <w:r w:rsidRPr="00F26F1F">
        <w:t>Předčasné splacení provedeno k poslednímu dni Úrokovacího období, pro které je aplikována Strukturovaná sazba</w:t>
      </w:r>
      <w:r>
        <w:rPr>
          <w:rFonts w:cs="Arial"/>
        </w:rPr>
        <w:t>.</w:t>
      </w:r>
    </w:p>
    <w:p w:rsidR="0061091A" w:rsidRPr="008C4B06" w:rsidRDefault="0061091A" w:rsidP="00510103">
      <w:pPr>
        <w:pStyle w:val="Nadpis2"/>
        <w:rPr>
          <w:rFonts w:cs="Arial"/>
        </w:rPr>
      </w:pPr>
      <w:bookmarkStart w:id="26" w:name="_Ref366059764"/>
      <w:r w:rsidRPr="008C4B06">
        <w:rPr>
          <w:rFonts w:cs="Arial"/>
        </w:rPr>
        <w:t xml:space="preserve">Při Předčasném splacení během </w:t>
      </w:r>
      <w:r>
        <w:rPr>
          <w:rFonts w:cs="Arial"/>
        </w:rPr>
        <w:t xml:space="preserve">(i) </w:t>
      </w:r>
      <w:r w:rsidRPr="008C4B06">
        <w:rPr>
          <w:rFonts w:cs="Arial"/>
        </w:rPr>
        <w:t xml:space="preserve">Úrokovacího období, na které je uplatněna Strukturovaná sazba, </w:t>
      </w:r>
      <w:r w:rsidRPr="001E69CB">
        <w:rPr>
          <w:szCs w:val="18"/>
        </w:rPr>
        <w:t>nebo</w:t>
      </w:r>
      <w:r>
        <w:rPr>
          <w:szCs w:val="18"/>
        </w:rPr>
        <w:t xml:space="preserve"> (</w:t>
      </w:r>
      <w:proofErr w:type="spellStart"/>
      <w:r>
        <w:rPr>
          <w:szCs w:val="18"/>
        </w:rPr>
        <w:t>ii</w:t>
      </w:r>
      <w:proofErr w:type="spellEnd"/>
      <w:r>
        <w:rPr>
          <w:szCs w:val="18"/>
        </w:rPr>
        <w:t xml:space="preserve">) </w:t>
      </w:r>
      <w:r w:rsidRPr="008C4B06">
        <w:rPr>
          <w:rFonts w:cs="Arial"/>
        </w:rPr>
        <w:t xml:space="preserve">Úrokovacího období, na které je uplatněna </w:t>
      </w:r>
      <w:r>
        <w:rPr>
          <w:rFonts w:cs="Arial"/>
        </w:rPr>
        <w:t xml:space="preserve">Pohyblivá </w:t>
      </w:r>
      <w:r w:rsidRPr="008C4B06">
        <w:rPr>
          <w:rFonts w:cs="Arial"/>
        </w:rPr>
        <w:t>sazba</w:t>
      </w:r>
      <w:r>
        <w:rPr>
          <w:szCs w:val="18"/>
        </w:rPr>
        <w:t>, je-li</w:t>
      </w:r>
      <w:r>
        <w:t xml:space="preserve"> pro některé z následujících období sjednána Strukturovaná sazba,</w:t>
      </w:r>
      <w:r w:rsidRPr="008C4B06">
        <w:rPr>
          <w:rFonts w:cs="Arial"/>
        </w:rPr>
        <w:t xml:space="preserve"> je Klient povinen dohodnout s Bankou změnu Splátkového plánu, a to postupem podle odstavce</w:t>
      </w:r>
      <w:r>
        <w:rPr>
          <w:rFonts w:cs="Arial"/>
        </w:rPr>
        <w:t xml:space="preserve"> </w:t>
      </w:r>
      <w:r>
        <w:rPr>
          <w:rFonts w:cs="Arial"/>
        </w:rPr>
        <w:fldChar w:fldCharType="begin"/>
      </w:r>
      <w:r>
        <w:rPr>
          <w:rFonts w:cs="Arial"/>
        </w:rPr>
        <w:instrText xml:space="preserve"> REF _Ref300578024 \r \h </w:instrText>
      </w:r>
      <w:r w:rsidR="00510103">
        <w:rPr>
          <w:rFonts w:cs="Arial"/>
        </w:rPr>
        <w:instrText xml:space="preserve"> \* MERGEFORMAT </w:instrText>
      </w:r>
      <w:r>
        <w:rPr>
          <w:rFonts w:cs="Arial"/>
        </w:rPr>
      </w:r>
      <w:r>
        <w:rPr>
          <w:rFonts w:cs="Arial"/>
        </w:rPr>
        <w:fldChar w:fldCharType="separate"/>
      </w:r>
      <w:r w:rsidR="00D31EE0">
        <w:rPr>
          <w:rFonts w:cs="Arial"/>
        </w:rPr>
        <w:t>9.2</w:t>
      </w:r>
      <w:r>
        <w:rPr>
          <w:rFonts w:cs="Arial"/>
        </w:rPr>
        <w:fldChar w:fldCharType="end"/>
      </w:r>
      <w:r>
        <w:rPr>
          <w:rFonts w:cs="Arial"/>
        </w:rPr>
        <w:t>.</w:t>
      </w:r>
      <w:bookmarkEnd w:id="26"/>
    </w:p>
    <w:p w:rsidR="0061091A" w:rsidRPr="008C4B06" w:rsidRDefault="0061091A" w:rsidP="00510103">
      <w:pPr>
        <w:pStyle w:val="Nadpis2"/>
        <w:rPr>
          <w:rFonts w:cs="Arial"/>
        </w:rPr>
      </w:pPr>
      <w:r w:rsidRPr="0071478F">
        <w:rPr>
          <w:rFonts w:cs="Arial"/>
        </w:rPr>
        <w:t xml:space="preserve">Ujednání odstavce </w:t>
      </w:r>
      <w:r>
        <w:rPr>
          <w:rFonts w:cs="Arial"/>
        </w:rPr>
        <w:fldChar w:fldCharType="begin"/>
      </w:r>
      <w:r>
        <w:rPr>
          <w:rFonts w:cs="Arial"/>
        </w:rPr>
        <w:instrText xml:space="preserve"> REF _Ref366059721 \r \h </w:instrText>
      </w:r>
      <w:r w:rsidR="00510103">
        <w:rPr>
          <w:rFonts w:cs="Arial"/>
        </w:rPr>
        <w:instrText xml:space="preserve"> \* MERGEFORMAT </w:instrText>
      </w:r>
      <w:r>
        <w:rPr>
          <w:rFonts w:cs="Arial"/>
        </w:rPr>
      </w:r>
      <w:r>
        <w:rPr>
          <w:rFonts w:cs="Arial"/>
        </w:rPr>
        <w:fldChar w:fldCharType="separate"/>
      </w:r>
      <w:r w:rsidR="00D31EE0">
        <w:rPr>
          <w:rFonts w:cs="Arial"/>
        </w:rPr>
        <w:t>8.1</w:t>
      </w:r>
      <w:r>
        <w:rPr>
          <w:rFonts w:cs="Arial"/>
        </w:rPr>
        <w:fldChar w:fldCharType="end"/>
      </w:r>
      <w:r>
        <w:rPr>
          <w:rFonts w:cs="Arial"/>
        </w:rPr>
        <w:t xml:space="preserve"> </w:t>
      </w:r>
      <w:r w:rsidRPr="0071478F">
        <w:rPr>
          <w:rFonts w:cs="Arial"/>
        </w:rPr>
        <w:t xml:space="preserve">o Částce vyrovnání se použije obdobně v případě </w:t>
      </w:r>
      <w:r>
        <w:rPr>
          <w:rFonts w:cs="Arial"/>
        </w:rPr>
        <w:t xml:space="preserve">splatnosti </w:t>
      </w:r>
      <w:r w:rsidRPr="0071478F">
        <w:rPr>
          <w:rFonts w:cs="Arial"/>
        </w:rPr>
        <w:t>jistiny Úvěru před termíny sjednanými ve Splátkovém plánu na základě jiné skutečn</w:t>
      </w:r>
      <w:r>
        <w:rPr>
          <w:rFonts w:cs="Arial"/>
        </w:rPr>
        <w:t>osti, než je Předčasné splacení</w:t>
      </w:r>
      <w:r w:rsidRPr="0071478F">
        <w:rPr>
          <w:rFonts w:cs="Arial"/>
        </w:rPr>
        <w:t>, zejména je-li Úvěr splatný před termíny sjednanými ve Splátkovém plánu v důsledku uplatnění opatření Banky dle Úvěrových podmínek nebo v důsledku výpovědi Smlouvy z důvodů uvedených ve Všeobecných podmínkách</w:t>
      </w:r>
      <w:r>
        <w:rPr>
          <w:rFonts w:cs="Arial"/>
        </w:rPr>
        <w:t>.</w:t>
      </w:r>
    </w:p>
    <w:p w:rsidR="0061091A" w:rsidRPr="008C4B06" w:rsidRDefault="0061091A" w:rsidP="00510103">
      <w:pPr>
        <w:pStyle w:val="Nadpis2"/>
        <w:rPr>
          <w:rFonts w:cs="Arial"/>
        </w:rPr>
      </w:pPr>
      <w:r w:rsidRPr="0071478F">
        <w:rPr>
          <w:rFonts w:cs="Arial"/>
          <w:bCs/>
        </w:rPr>
        <w:t xml:space="preserve">Pokud Klient nevyčerpá jistinu Úvěru do Výše úvěru a </w:t>
      </w:r>
      <w:r w:rsidRPr="0071478F">
        <w:t xml:space="preserve">je sjednána Strukturovaná sazba, použije se obdobně </w:t>
      </w:r>
      <w:r>
        <w:t>(i)</w:t>
      </w:r>
      <w:r w:rsidRPr="0071478F">
        <w:t xml:space="preserve"> ujednání odstavce</w:t>
      </w:r>
      <w:r>
        <w:t xml:space="preserve"> </w:t>
      </w:r>
      <w:r>
        <w:fldChar w:fldCharType="begin"/>
      </w:r>
      <w:r>
        <w:instrText xml:space="preserve"> REF _Ref366059721 \r \h </w:instrText>
      </w:r>
      <w:r w:rsidR="00510103">
        <w:instrText xml:space="preserve"> \* MERGEFORMAT </w:instrText>
      </w:r>
      <w:r>
        <w:fldChar w:fldCharType="separate"/>
      </w:r>
      <w:r w:rsidR="00D31EE0">
        <w:t>8.1</w:t>
      </w:r>
      <w:r>
        <w:fldChar w:fldCharType="end"/>
      </w:r>
      <w:r w:rsidRPr="0071478F">
        <w:t xml:space="preserve"> </w:t>
      </w:r>
      <w:r w:rsidRPr="0071478F">
        <w:rPr>
          <w:rFonts w:cs="Arial"/>
        </w:rPr>
        <w:t xml:space="preserve">o Částce vyrovnání </w:t>
      </w:r>
      <w:r w:rsidRPr="0071478F">
        <w:t xml:space="preserve">a </w:t>
      </w:r>
      <w:r>
        <w:t>(</w:t>
      </w:r>
      <w:proofErr w:type="spellStart"/>
      <w:r>
        <w:t>ii</w:t>
      </w:r>
      <w:proofErr w:type="spellEnd"/>
      <w:r>
        <w:t>)</w:t>
      </w:r>
      <w:r w:rsidRPr="0071478F">
        <w:t xml:space="preserve"> ujednání</w:t>
      </w:r>
      <w:r>
        <w:t xml:space="preserve"> odstavce </w:t>
      </w:r>
      <w:r>
        <w:fldChar w:fldCharType="begin"/>
      </w:r>
      <w:r>
        <w:instrText xml:space="preserve"> REF _Ref366059764 \r \h </w:instrText>
      </w:r>
      <w:r w:rsidR="00510103">
        <w:instrText xml:space="preserve"> \* MERGEFORMAT </w:instrText>
      </w:r>
      <w:r>
        <w:fldChar w:fldCharType="separate"/>
      </w:r>
      <w:r w:rsidR="00D31EE0">
        <w:t>8.3</w:t>
      </w:r>
      <w:r>
        <w:fldChar w:fldCharType="end"/>
      </w:r>
      <w:r>
        <w:t xml:space="preserve"> o povinnosti Klienta dohodnout změnu </w:t>
      </w:r>
      <w:r w:rsidRPr="008C4B06">
        <w:rPr>
          <w:rFonts w:cs="Arial"/>
        </w:rPr>
        <w:t>Splátkového plánu</w:t>
      </w:r>
      <w:r>
        <w:rPr>
          <w:rFonts w:cs="Arial"/>
        </w:rPr>
        <w:t>. Ro</w:t>
      </w:r>
      <w:r w:rsidRPr="00AC5BF9">
        <w:t xml:space="preserve">zdíl mezi </w:t>
      </w:r>
      <w:r w:rsidRPr="004C014E">
        <w:t>zůstatkem jistiny Úvěru k poslednímu dni Doby čerpání a součtem splátek jistiny Úvěru podle sjednaného Splátkového plánu se pro tyto účely považuje za Předčasné splacení k poslednímu dni Doby čerpání, nebude-li dohodnuto jinak</w:t>
      </w:r>
      <w:r>
        <w:rPr>
          <w:rFonts w:cs="Arial"/>
        </w:rPr>
        <w:t>.</w:t>
      </w:r>
    </w:p>
    <w:p w:rsidR="00C53A30" w:rsidRPr="008C4B06" w:rsidRDefault="00AC4949" w:rsidP="00510103">
      <w:pPr>
        <w:pStyle w:val="Nadpis2"/>
        <w:rPr>
          <w:rFonts w:cs="Arial"/>
          <w:bCs/>
        </w:rPr>
      </w:pPr>
      <w:r w:rsidRPr="008C4B06">
        <w:rPr>
          <w:rFonts w:cs="Arial"/>
        </w:rPr>
        <w:t>Klient a Banka se mohou dohodnout, že místo úhrady Částky vyrovnání uzavřou mezi sebou transakci (zpravidla úrokový swap či jiný investiční nástroj), která ve svých podmínkách Částku vyrovnání zohlední</w:t>
      </w:r>
      <w:r w:rsidR="00C53A30" w:rsidRPr="008C4B06">
        <w:rPr>
          <w:rFonts w:cs="Arial"/>
          <w:bCs/>
        </w:rPr>
        <w:t>.</w:t>
      </w:r>
    </w:p>
    <w:p w:rsidR="00AC4949" w:rsidRPr="008C4B06" w:rsidRDefault="00AC4949" w:rsidP="00510103">
      <w:pPr>
        <w:pStyle w:val="Nadpis2"/>
        <w:rPr>
          <w:rFonts w:cs="Arial"/>
          <w:bCs/>
        </w:rPr>
      </w:pPr>
      <w:r w:rsidRPr="008C4B06">
        <w:rPr>
          <w:rFonts w:cs="Arial"/>
          <w:bCs/>
        </w:rPr>
        <w:t>Klient se zavazuje oznámit svůj úmysl provést Předčasné splacení minimálně pět (5) Obchodních dnů předem.</w:t>
      </w:r>
    </w:p>
    <w:p w:rsidR="001D5479" w:rsidRPr="008C4B06" w:rsidRDefault="001B23ED" w:rsidP="00510103">
      <w:pPr>
        <w:pStyle w:val="Nadpis1"/>
        <w:rPr>
          <w:rFonts w:cs="Arial"/>
        </w:rPr>
      </w:pPr>
      <w:r w:rsidRPr="008C4B06">
        <w:rPr>
          <w:rFonts w:cs="Arial"/>
        </w:rPr>
        <w:t xml:space="preserve">Změna </w:t>
      </w:r>
      <w:r w:rsidR="0061091A">
        <w:rPr>
          <w:rFonts w:cs="Arial"/>
        </w:rPr>
        <w:t>s</w:t>
      </w:r>
      <w:r w:rsidRPr="008C4B06">
        <w:rPr>
          <w:rFonts w:cs="Arial"/>
        </w:rPr>
        <w:t>plátkového plánu</w:t>
      </w:r>
    </w:p>
    <w:p w:rsidR="001B23ED" w:rsidRPr="008C4B06" w:rsidRDefault="001B23ED" w:rsidP="00510103">
      <w:pPr>
        <w:pStyle w:val="Nadpis2"/>
        <w:rPr>
          <w:rFonts w:cs="Arial"/>
        </w:rPr>
      </w:pPr>
      <w:r w:rsidRPr="008C4B06">
        <w:rPr>
          <w:rFonts w:cs="Arial"/>
        </w:rPr>
        <w:t>Klient a Banka se mohou dohodnout na parametrech změny Splátkového plánu, neodporuje-li to právním předpisům. Dohoda je platně sjednána uzavřením písemného dodatku k této Smlouvě, pokud není dále uvedeno jinak.</w:t>
      </w:r>
    </w:p>
    <w:p w:rsidR="001B23ED" w:rsidRPr="008C4B06" w:rsidRDefault="001B23ED" w:rsidP="00510103">
      <w:pPr>
        <w:pStyle w:val="Nadpis2"/>
        <w:rPr>
          <w:rFonts w:cs="Arial"/>
        </w:rPr>
      </w:pPr>
      <w:bookmarkStart w:id="27" w:name="_Ref287428709"/>
      <w:bookmarkStart w:id="28" w:name="_Ref300578024"/>
      <w:r w:rsidRPr="008C4B06">
        <w:rPr>
          <w:rFonts w:cs="Arial"/>
        </w:rPr>
        <w:t>V případě, že se změna Splátkového plánu týká Úrokovacího období, na které je uplatňována Strukturovaná sazba, lze sjednat změnu Splátkového plánu výhradně prostřednictvím telefonických linek uvedených v Příloze 3; ustanovení odstavce</w:t>
      </w:r>
      <w:r w:rsidR="00277B1A" w:rsidRPr="008C4B06">
        <w:rPr>
          <w:rFonts w:cs="Arial"/>
        </w:rPr>
        <w:t xml:space="preserve"> </w:t>
      </w:r>
      <w:r w:rsidR="00277B1A" w:rsidRPr="008C4B06">
        <w:rPr>
          <w:rFonts w:cs="Arial"/>
        </w:rPr>
        <w:fldChar w:fldCharType="begin"/>
      </w:r>
      <w:r w:rsidR="00277B1A" w:rsidRPr="008C4B06">
        <w:rPr>
          <w:rFonts w:cs="Arial"/>
        </w:rPr>
        <w:instrText xml:space="preserve"> REF _Ref300578050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7.3</w:t>
      </w:r>
      <w:r w:rsidR="00277B1A" w:rsidRPr="008C4B06">
        <w:rPr>
          <w:rFonts w:cs="Arial"/>
        </w:rPr>
        <w:fldChar w:fldCharType="end"/>
      </w:r>
      <w:r w:rsidRPr="008C4B06">
        <w:rPr>
          <w:rFonts w:cs="Arial"/>
        </w:rPr>
        <w:t xml:space="preserve">, </w:t>
      </w:r>
      <w:r w:rsidR="00277B1A" w:rsidRPr="008C4B06">
        <w:rPr>
          <w:rFonts w:cs="Arial"/>
        </w:rPr>
        <w:fldChar w:fldCharType="begin"/>
      </w:r>
      <w:r w:rsidR="00277B1A" w:rsidRPr="008C4B06">
        <w:rPr>
          <w:rFonts w:cs="Arial"/>
        </w:rPr>
        <w:instrText xml:space="preserve"> REF _Ref287428758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7.4</w:t>
      </w:r>
      <w:r w:rsidR="00277B1A" w:rsidRPr="008C4B06">
        <w:rPr>
          <w:rFonts w:cs="Arial"/>
        </w:rPr>
        <w:fldChar w:fldCharType="end"/>
      </w:r>
      <w:r w:rsidR="00277B1A" w:rsidRPr="008C4B06">
        <w:rPr>
          <w:rFonts w:cs="Arial"/>
        </w:rPr>
        <w:t xml:space="preserve"> </w:t>
      </w:r>
      <w:r w:rsidRPr="008C4B06">
        <w:rPr>
          <w:rFonts w:cs="Arial"/>
        </w:rPr>
        <w:t xml:space="preserve">a </w:t>
      </w:r>
      <w:r w:rsidR="00277B1A" w:rsidRPr="008C4B06">
        <w:rPr>
          <w:rFonts w:cs="Arial"/>
        </w:rPr>
        <w:fldChar w:fldCharType="begin"/>
      </w:r>
      <w:r w:rsidR="00277B1A" w:rsidRPr="008C4B06">
        <w:rPr>
          <w:rFonts w:cs="Arial"/>
        </w:rPr>
        <w:instrText xml:space="preserve"> REF _Ref287448332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7.5</w:t>
      </w:r>
      <w:r w:rsidR="00277B1A" w:rsidRPr="008C4B06">
        <w:rPr>
          <w:rFonts w:cs="Arial"/>
        </w:rPr>
        <w:fldChar w:fldCharType="end"/>
      </w:r>
      <w:r w:rsidR="007661E7" w:rsidRPr="008C4B06">
        <w:rPr>
          <w:rFonts w:cs="Arial"/>
        </w:rPr>
        <w:t xml:space="preserve"> </w:t>
      </w:r>
      <w:r w:rsidRPr="008C4B06">
        <w:rPr>
          <w:rFonts w:cs="Arial"/>
        </w:rPr>
        <w:t>se použijí obdobně. Změna sjednaná jiným způsobem je neplatná.</w:t>
      </w:r>
      <w:bookmarkEnd w:id="27"/>
      <w:r w:rsidRPr="008C4B06">
        <w:rPr>
          <w:rFonts w:cs="Arial"/>
        </w:rPr>
        <w:t xml:space="preserve"> Změna Splátkového plánu je platně sjednána, jestliže se Banka a Klient telefonicky dohodli na parametrech nového Splátkového plánu, době jeho účinnosti a na Částce vyrovnání.</w:t>
      </w:r>
      <w:bookmarkEnd w:id="28"/>
    </w:p>
    <w:p w:rsidR="00C53A30" w:rsidRPr="008C4B06" w:rsidRDefault="001B23ED" w:rsidP="00510103">
      <w:pPr>
        <w:pStyle w:val="Nadpis1"/>
        <w:rPr>
          <w:rFonts w:cs="Arial"/>
        </w:rPr>
      </w:pPr>
      <w:r w:rsidRPr="008C4B06">
        <w:rPr>
          <w:rFonts w:cs="Arial"/>
        </w:rPr>
        <w:t xml:space="preserve">Předčasné ukončení uplatňování </w:t>
      </w:r>
      <w:r w:rsidR="0061091A">
        <w:rPr>
          <w:rFonts w:cs="Arial"/>
        </w:rPr>
        <w:t>s</w:t>
      </w:r>
      <w:r w:rsidRPr="008C4B06">
        <w:rPr>
          <w:rFonts w:cs="Arial"/>
        </w:rPr>
        <w:t>trukturované sazby</w:t>
      </w:r>
    </w:p>
    <w:p w:rsidR="001B23ED" w:rsidRPr="008C4B06" w:rsidRDefault="001B23ED" w:rsidP="00510103">
      <w:pPr>
        <w:pStyle w:val="Nadpis2"/>
        <w:rPr>
          <w:rFonts w:cs="Arial"/>
        </w:rPr>
      </w:pPr>
      <w:r w:rsidRPr="008C4B06">
        <w:rPr>
          <w:rFonts w:cs="Arial"/>
        </w:rPr>
        <w:t xml:space="preserve">Klient a Banka se mohou dohodnout na parametrech předčasného ukončení uplatňování Strukturované sazby. Banka se v takovém případě zavazuje Klientovi sdělit předem částku vyrovnání vypočtenou způsobem dle odstavce </w:t>
      </w:r>
      <w:r w:rsidR="00AC4949">
        <w:rPr>
          <w:rFonts w:cs="Arial"/>
        </w:rPr>
        <w:fldChar w:fldCharType="begin"/>
      </w:r>
      <w:r w:rsidR="00AC4949">
        <w:rPr>
          <w:rFonts w:cs="Arial"/>
        </w:rPr>
        <w:instrText xml:space="preserve"> REF _Ref366059721 \r \h </w:instrText>
      </w:r>
      <w:r w:rsidR="00510103">
        <w:rPr>
          <w:rFonts w:cs="Arial"/>
        </w:rPr>
        <w:instrText xml:space="preserve"> \* MERGEFORMAT </w:instrText>
      </w:r>
      <w:r w:rsidR="00AC4949">
        <w:rPr>
          <w:rFonts w:cs="Arial"/>
        </w:rPr>
      </w:r>
      <w:r w:rsidR="00AC4949">
        <w:rPr>
          <w:rFonts w:cs="Arial"/>
        </w:rPr>
        <w:fldChar w:fldCharType="separate"/>
      </w:r>
      <w:r w:rsidR="00D31EE0">
        <w:rPr>
          <w:rFonts w:cs="Arial"/>
        </w:rPr>
        <w:t>8.1</w:t>
      </w:r>
      <w:r w:rsidR="00AC4949">
        <w:rPr>
          <w:rFonts w:cs="Arial"/>
        </w:rPr>
        <w:fldChar w:fldCharType="end"/>
      </w:r>
      <w:r w:rsidR="00AC4949">
        <w:rPr>
          <w:rFonts w:cs="Arial"/>
        </w:rPr>
        <w:t xml:space="preserve"> </w:t>
      </w:r>
      <w:r w:rsidRPr="008C4B06">
        <w:rPr>
          <w:rFonts w:cs="Arial"/>
        </w:rPr>
        <w:t>(rovněž „</w:t>
      </w:r>
      <w:r w:rsidRPr="008C4B06">
        <w:rPr>
          <w:rFonts w:cs="Arial"/>
          <w:b/>
        </w:rPr>
        <w:t>Částka vyrovnání</w:t>
      </w:r>
      <w:r w:rsidRPr="008C4B06">
        <w:rPr>
          <w:rFonts w:cs="Arial"/>
        </w:rPr>
        <w:t>“).</w:t>
      </w:r>
    </w:p>
    <w:p w:rsidR="001B23ED" w:rsidRPr="008C4B06" w:rsidRDefault="001B23ED" w:rsidP="00510103">
      <w:pPr>
        <w:pStyle w:val="Nadpis2"/>
        <w:rPr>
          <w:rFonts w:cs="Arial"/>
        </w:rPr>
      </w:pPr>
      <w:r w:rsidRPr="008C4B06">
        <w:rPr>
          <w:rFonts w:cs="Arial"/>
        </w:rPr>
        <w:t xml:space="preserve">Předčasné ukončení uplatňování Strukturované sazby lze sjednat výhradně prostřednictvím telefonických linek uvedených v Příloze 3; ustanovení </w:t>
      </w:r>
      <w:r w:rsidR="00277B1A" w:rsidRPr="008C4B06">
        <w:rPr>
          <w:rFonts w:cs="Arial"/>
        </w:rPr>
        <w:t xml:space="preserve">odstavce </w:t>
      </w:r>
      <w:r w:rsidR="00277B1A" w:rsidRPr="008C4B06">
        <w:rPr>
          <w:rFonts w:cs="Arial"/>
        </w:rPr>
        <w:fldChar w:fldCharType="begin"/>
      </w:r>
      <w:r w:rsidR="00277B1A" w:rsidRPr="008C4B06">
        <w:rPr>
          <w:rFonts w:cs="Arial"/>
        </w:rPr>
        <w:instrText xml:space="preserve"> REF _Ref300578050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7.3</w:t>
      </w:r>
      <w:r w:rsidR="00277B1A" w:rsidRPr="008C4B06">
        <w:rPr>
          <w:rFonts w:cs="Arial"/>
        </w:rPr>
        <w:fldChar w:fldCharType="end"/>
      </w:r>
      <w:r w:rsidR="00277B1A" w:rsidRPr="008C4B06">
        <w:rPr>
          <w:rFonts w:cs="Arial"/>
        </w:rPr>
        <w:t xml:space="preserve">, </w:t>
      </w:r>
      <w:r w:rsidR="00277B1A" w:rsidRPr="008C4B06">
        <w:rPr>
          <w:rFonts w:cs="Arial"/>
        </w:rPr>
        <w:fldChar w:fldCharType="begin"/>
      </w:r>
      <w:r w:rsidR="00277B1A" w:rsidRPr="008C4B06">
        <w:rPr>
          <w:rFonts w:cs="Arial"/>
        </w:rPr>
        <w:instrText xml:space="preserve"> REF _Ref287428758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7.4</w:t>
      </w:r>
      <w:r w:rsidR="00277B1A" w:rsidRPr="008C4B06">
        <w:rPr>
          <w:rFonts w:cs="Arial"/>
        </w:rPr>
        <w:fldChar w:fldCharType="end"/>
      </w:r>
      <w:r w:rsidR="00277B1A" w:rsidRPr="008C4B06">
        <w:rPr>
          <w:rFonts w:cs="Arial"/>
        </w:rPr>
        <w:t xml:space="preserve"> a </w:t>
      </w:r>
      <w:r w:rsidR="00277B1A" w:rsidRPr="008C4B06">
        <w:rPr>
          <w:rFonts w:cs="Arial"/>
        </w:rPr>
        <w:fldChar w:fldCharType="begin"/>
      </w:r>
      <w:r w:rsidR="00277B1A" w:rsidRPr="008C4B06">
        <w:rPr>
          <w:rFonts w:cs="Arial"/>
        </w:rPr>
        <w:instrText xml:space="preserve"> REF _Ref287448332 \r \h </w:instrText>
      </w:r>
      <w:r w:rsidR="008C4B06">
        <w:rPr>
          <w:rFonts w:cs="Arial"/>
        </w:rPr>
        <w:instrText xml:space="preserve"> \* MERGEFORMAT </w:instrText>
      </w:r>
      <w:r w:rsidR="00277B1A" w:rsidRPr="008C4B06">
        <w:rPr>
          <w:rFonts w:cs="Arial"/>
        </w:rPr>
      </w:r>
      <w:r w:rsidR="00277B1A" w:rsidRPr="008C4B06">
        <w:rPr>
          <w:rFonts w:cs="Arial"/>
        </w:rPr>
        <w:fldChar w:fldCharType="separate"/>
      </w:r>
      <w:r w:rsidR="00D31EE0">
        <w:rPr>
          <w:rFonts w:cs="Arial"/>
        </w:rPr>
        <w:t>7.5</w:t>
      </w:r>
      <w:r w:rsidR="00277B1A" w:rsidRPr="008C4B06">
        <w:rPr>
          <w:rFonts w:cs="Arial"/>
        </w:rPr>
        <w:fldChar w:fldCharType="end"/>
      </w:r>
      <w:r w:rsidR="00277B1A" w:rsidRPr="008C4B06">
        <w:rPr>
          <w:rFonts w:cs="Arial"/>
        </w:rPr>
        <w:t xml:space="preserve"> se </w:t>
      </w:r>
      <w:r w:rsidRPr="008C4B06">
        <w:rPr>
          <w:rFonts w:cs="Arial"/>
        </w:rPr>
        <w:t xml:space="preserve">použijí obdobně. Předčasné ukončení </w:t>
      </w:r>
      <w:r w:rsidRPr="008C4B06">
        <w:rPr>
          <w:rFonts w:cs="Arial"/>
        </w:rPr>
        <w:lastRenderedPageBreak/>
        <w:t>uplatňování Strukturované sazby sjednané jiným způsobem je neplatné. Předčasné ukončení bude platně sjednáno, jestliže Banka a Klient telefonicky vyjádří svůj bezpodmínečný souhlas s podmínkami předčasného ukončení a s Částkou vyrovnání.</w:t>
      </w:r>
    </w:p>
    <w:p w:rsidR="001B23ED" w:rsidRPr="008C4B06" w:rsidRDefault="001B23ED" w:rsidP="00510103">
      <w:pPr>
        <w:pStyle w:val="Nadpis2"/>
        <w:rPr>
          <w:rFonts w:cs="Arial"/>
        </w:rPr>
      </w:pPr>
      <w:r w:rsidRPr="008C4B06">
        <w:rPr>
          <w:rFonts w:cs="Arial"/>
        </w:rPr>
        <w:t>Klient a Banka se mohou dohodnout, že místo úhrady Částky vyrovnání uzavřou mezi sebou transakci (zpravidla úrokový swap či jiný investiční nástroj), která ve svých podmínkách Částku vyrovnání zohlední.</w:t>
      </w:r>
    </w:p>
    <w:p w:rsidR="00C53A30" w:rsidRPr="00E06556" w:rsidRDefault="001B23ED" w:rsidP="00510103">
      <w:pPr>
        <w:pStyle w:val="Nadpis1"/>
        <w:rPr>
          <w:rFonts w:cs="Arial"/>
        </w:rPr>
      </w:pPr>
      <w:r w:rsidRPr="00E06556">
        <w:rPr>
          <w:rFonts w:cs="Arial"/>
        </w:rPr>
        <w:t>Zajištění úvěru</w:t>
      </w:r>
    </w:p>
    <w:p w:rsidR="00E06556" w:rsidRDefault="001B23ED" w:rsidP="00510103">
      <w:pPr>
        <w:tabs>
          <w:tab w:val="left" w:pos="567"/>
          <w:tab w:val="left" w:pos="3119"/>
          <w:tab w:val="left" w:pos="4962"/>
          <w:tab w:val="left" w:pos="6237"/>
          <w:tab w:val="left" w:pos="7372"/>
        </w:tabs>
        <w:rPr>
          <w:iCs/>
          <w:color w:val="000000"/>
          <w:szCs w:val="18"/>
        </w:rPr>
      </w:pPr>
      <w:bookmarkStart w:id="29" w:name="zajisten_ano"/>
      <w:bookmarkStart w:id="30" w:name="uzavrena_ano"/>
      <w:r w:rsidRPr="008C4B06">
        <w:rPr>
          <w:rFonts w:cs="Arial"/>
        </w:rPr>
        <w:t>11.1</w:t>
      </w:r>
      <w:bookmarkEnd w:id="29"/>
      <w:bookmarkEnd w:id="30"/>
      <w:r w:rsidR="001D14F0">
        <w:rPr>
          <w:rFonts w:cs="Arial"/>
        </w:rPr>
        <w:t xml:space="preserve"> </w:t>
      </w:r>
      <w:r w:rsidR="00510103">
        <w:rPr>
          <w:rFonts w:cs="Arial"/>
        </w:rPr>
        <w:tab/>
      </w:r>
      <w:r w:rsidR="00E06556" w:rsidRPr="001C3198">
        <w:rPr>
          <w:iCs/>
          <w:color w:val="000000"/>
          <w:szCs w:val="18"/>
        </w:rPr>
        <w:t>Klient se zavazuje, že zabezpečí zajištění svých dluhů vůči Bance, kte</w:t>
      </w:r>
      <w:r w:rsidR="00E06556">
        <w:rPr>
          <w:iCs/>
          <w:color w:val="000000"/>
          <w:szCs w:val="18"/>
        </w:rPr>
        <w:t xml:space="preserve">ré vznikly nebo mohou vzniknout   </w:t>
      </w:r>
    </w:p>
    <w:p w:rsidR="00E06556" w:rsidRPr="001C3198" w:rsidRDefault="001D14F0" w:rsidP="00510103">
      <w:pPr>
        <w:tabs>
          <w:tab w:val="left" w:pos="567"/>
          <w:tab w:val="left" w:pos="3119"/>
          <w:tab w:val="left" w:pos="4962"/>
          <w:tab w:val="left" w:pos="6237"/>
          <w:tab w:val="left" w:pos="7372"/>
        </w:tabs>
        <w:rPr>
          <w:iCs/>
          <w:color w:val="000000"/>
          <w:szCs w:val="18"/>
        </w:rPr>
      </w:pPr>
      <w:r>
        <w:rPr>
          <w:iCs/>
          <w:color w:val="000000"/>
          <w:szCs w:val="18"/>
        </w:rPr>
        <w:t xml:space="preserve">         </w:t>
      </w:r>
      <w:r w:rsidR="00E06556" w:rsidRPr="001C3198">
        <w:rPr>
          <w:iCs/>
          <w:color w:val="000000"/>
          <w:szCs w:val="18"/>
        </w:rPr>
        <w:t xml:space="preserve">v souvislosti s touto Smlouvou následovně: </w:t>
      </w:r>
    </w:p>
    <w:p w:rsidR="00E06556" w:rsidRPr="001C3198" w:rsidRDefault="00E06556" w:rsidP="00510103">
      <w:pPr>
        <w:tabs>
          <w:tab w:val="left" w:pos="3119"/>
          <w:tab w:val="left" w:pos="4962"/>
          <w:tab w:val="left" w:pos="6237"/>
          <w:tab w:val="left" w:pos="7372"/>
        </w:tabs>
        <w:ind w:left="567"/>
        <w:rPr>
          <w:iCs/>
          <w:color w:val="000000"/>
          <w:szCs w:val="18"/>
        </w:rPr>
      </w:pPr>
    </w:p>
    <w:p w:rsidR="00E06556" w:rsidRPr="001C3198" w:rsidRDefault="00E06556" w:rsidP="00510103">
      <w:pPr>
        <w:tabs>
          <w:tab w:val="left" w:pos="3119"/>
          <w:tab w:val="left" w:pos="4962"/>
          <w:tab w:val="left" w:pos="6237"/>
          <w:tab w:val="left" w:pos="7372"/>
        </w:tabs>
        <w:rPr>
          <w:iCs/>
          <w:color w:val="000000"/>
          <w:szCs w:val="18"/>
        </w:rPr>
      </w:pPr>
      <w:r>
        <w:rPr>
          <w:iCs/>
          <w:color w:val="000000"/>
          <w:szCs w:val="18"/>
        </w:rPr>
        <w:t xml:space="preserve">         </w:t>
      </w:r>
      <w:r w:rsidRPr="001C3198">
        <w:rPr>
          <w:iCs/>
          <w:color w:val="000000"/>
          <w:szCs w:val="18"/>
        </w:rPr>
        <w:t>Forma zajištění: bankovní záruka</w:t>
      </w:r>
    </w:p>
    <w:p w:rsidR="001D14F0" w:rsidRDefault="001D14F0" w:rsidP="00510103">
      <w:pPr>
        <w:tabs>
          <w:tab w:val="left" w:pos="3119"/>
          <w:tab w:val="left" w:pos="4962"/>
          <w:tab w:val="left" w:pos="6237"/>
          <w:tab w:val="left" w:pos="7372"/>
        </w:tabs>
        <w:rPr>
          <w:iCs/>
          <w:color w:val="000000"/>
          <w:szCs w:val="18"/>
        </w:rPr>
      </w:pPr>
    </w:p>
    <w:p w:rsidR="00E06556" w:rsidRDefault="001D14F0" w:rsidP="00510103">
      <w:pPr>
        <w:tabs>
          <w:tab w:val="left" w:pos="3119"/>
          <w:tab w:val="left" w:pos="4962"/>
          <w:tab w:val="left" w:pos="6237"/>
          <w:tab w:val="left" w:pos="7372"/>
        </w:tabs>
        <w:rPr>
          <w:iCs/>
          <w:color w:val="000000"/>
          <w:szCs w:val="18"/>
        </w:rPr>
      </w:pPr>
      <w:r>
        <w:rPr>
          <w:iCs/>
          <w:color w:val="000000"/>
          <w:szCs w:val="18"/>
        </w:rPr>
        <w:t xml:space="preserve">         </w:t>
      </w:r>
      <w:r w:rsidR="00E06556" w:rsidRPr="001C3198">
        <w:rPr>
          <w:iCs/>
          <w:color w:val="000000"/>
          <w:szCs w:val="18"/>
        </w:rPr>
        <w:t xml:space="preserve">Identifikace banky: EUROPEAN INVESTMENT FUND, se sídlem: 37 B AVENUE J.F. KENNEDY L-2968 </w:t>
      </w:r>
      <w:r w:rsidR="00E06556">
        <w:rPr>
          <w:iCs/>
          <w:color w:val="000000"/>
          <w:szCs w:val="18"/>
        </w:rPr>
        <w:t xml:space="preserve">     </w:t>
      </w:r>
    </w:p>
    <w:p w:rsidR="00E06556" w:rsidRPr="001C3198" w:rsidRDefault="00E06556" w:rsidP="00510103">
      <w:pPr>
        <w:tabs>
          <w:tab w:val="left" w:pos="3119"/>
          <w:tab w:val="left" w:pos="4962"/>
          <w:tab w:val="left" w:pos="6237"/>
          <w:tab w:val="left" w:pos="7372"/>
        </w:tabs>
        <w:rPr>
          <w:iCs/>
          <w:color w:val="000000"/>
          <w:szCs w:val="18"/>
        </w:rPr>
      </w:pPr>
      <w:r>
        <w:rPr>
          <w:iCs/>
          <w:color w:val="000000"/>
          <w:szCs w:val="18"/>
        </w:rPr>
        <w:t xml:space="preserve">         </w:t>
      </w:r>
      <w:proofErr w:type="gramStart"/>
      <w:r w:rsidRPr="001C3198">
        <w:rPr>
          <w:iCs/>
          <w:color w:val="000000"/>
          <w:szCs w:val="18"/>
        </w:rPr>
        <w:t>LUXEMBOURG,  GRAND</w:t>
      </w:r>
      <w:proofErr w:type="gramEnd"/>
      <w:r w:rsidRPr="001C3198">
        <w:rPr>
          <w:iCs/>
          <w:color w:val="000000"/>
          <w:szCs w:val="18"/>
        </w:rPr>
        <w:t xml:space="preserve"> DUCHY OF LUXEMBOURG, LU, IČ: EIFLLULL.</w:t>
      </w:r>
    </w:p>
    <w:p w:rsidR="00E06556" w:rsidRPr="001C3198" w:rsidRDefault="00E06556" w:rsidP="00510103">
      <w:pPr>
        <w:tabs>
          <w:tab w:val="left" w:pos="3119"/>
          <w:tab w:val="left" w:pos="4962"/>
          <w:tab w:val="left" w:pos="6237"/>
          <w:tab w:val="left" w:pos="7372"/>
        </w:tabs>
        <w:ind w:left="567"/>
        <w:rPr>
          <w:iCs/>
          <w:color w:val="000000"/>
          <w:szCs w:val="18"/>
        </w:rPr>
      </w:pPr>
      <w:r>
        <w:rPr>
          <w:iCs/>
          <w:color w:val="000000"/>
          <w:szCs w:val="18"/>
        </w:rPr>
        <w:t xml:space="preserve"> </w:t>
      </w:r>
    </w:p>
    <w:p w:rsidR="00E06556" w:rsidRPr="001C3198" w:rsidRDefault="00E06556" w:rsidP="00510103">
      <w:pPr>
        <w:tabs>
          <w:tab w:val="left" w:pos="3119"/>
          <w:tab w:val="left" w:pos="4962"/>
          <w:tab w:val="left" w:pos="6237"/>
          <w:tab w:val="left" w:pos="7372"/>
        </w:tabs>
        <w:rPr>
          <w:iCs/>
          <w:color w:val="000000"/>
          <w:szCs w:val="18"/>
        </w:rPr>
      </w:pPr>
      <w:r>
        <w:rPr>
          <w:iCs/>
          <w:color w:val="000000"/>
          <w:szCs w:val="18"/>
        </w:rPr>
        <w:t xml:space="preserve">         </w:t>
      </w:r>
      <w:r w:rsidRPr="001C3198">
        <w:rPr>
          <w:iCs/>
          <w:color w:val="000000"/>
          <w:szCs w:val="18"/>
        </w:rPr>
        <w:t>A to</w:t>
      </w:r>
      <w:r>
        <w:rPr>
          <w:iCs/>
          <w:color w:val="000000"/>
          <w:szCs w:val="18"/>
        </w:rPr>
        <w:t xml:space="preserve"> do </w:t>
      </w:r>
      <w:proofErr w:type="gramStart"/>
      <w:r>
        <w:rPr>
          <w:iCs/>
          <w:color w:val="000000"/>
          <w:szCs w:val="18"/>
        </w:rPr>
        <w:t>8</w:t>
      </w:r>
      <w:r w:rsidRPr="001C3198">
        <w:rPr>
          <w:iCs/>
          <w:color w:val="000000"/>
          <w:szCs w:val="18"/>
        </w:rPr>
        <w:t>0%</w:t>
      </w:r>
      <w:proofErr w:type="gramEnd"/>
      <w:r w:rsidRPr="001C3198">
        <w:rPr>
          <w:iCs/>
          <w:color w:val="000000"/>
          <w:szCs w:val="18"/>
        </w:rPr>
        <w:t xml:space="preserve"> z nesplacené částky jistiny a úroku</w:t>
      </w:r>
    </w:p>
    <w:p w:rsidR="00E06556" w:rsidRPr="001C3198" w:rsidRDefault="00E06556" w:rsidP="00510103">
      <w:pPr>
        <w:tabs>
          <w:tab w:val="left" w:pos="3119"/>
          <w:tab w:val="left" w:pos="4962"/>
          <w:tab w:val="left" w:pos="6237"/>
          <w:tab w:val="left" w:pos="7372"/>
        </w:tabs>
        <w:ind w:left="567"/>
        <w:rPr>
          <w:iCs/>
          <w:color w:val="000000"/>
          <w:szCs w:val="18"/>
        </w:rPr>
      </w:pPr>
    </w:p>
    <w:p w:rsidR="00E06556" w:rsidRDefault="00E06556" w:rsidP="00510103">
      <w:pPr>
        <w:tabs>
          <w:tab w:val="left" w:pos="3119"/>
          <w:tab w:val="left" w:pos="4962"/>
          <w:tab w:val="left" w:pos="6237"/>
          <w:tab w:val="left" w:pos="7372"/>
        </w:tabs>
        <w:rPr>
          <w:iCs/>
          <w:color w:val="000000"/>
          <w:szCs w:val="18"/>
        </w:rPr>
      </w:pPr>
      <w:r>
        <w:rPr>
          <w:iCs/>
          <w:color w:val="000000"/>
          <w:szCs w:val="18"/>
        </w:rPr>
        <w:t xml:space="preserve">         </w:t>
      </w:r>
      <w:r w:rsidRPr="001C3198">
        <w:rPr>
          <w:iCs/>
          <w:color w:val="000000"/>
          <w:szCs w:val="18"/>
        </w:rPr>
        <w:t>Další podmínk</w:t>
      </w:r>
      <w:r w:rsidR="002B1662">
        <w:rPr>
          <w:iCs/>
          <w:color w:val="000000"/>
          <w:szCs w:val="18"/>
        </w:rPr>
        <w:t>y bankovní záruky: viz. článek 12</w:t>
      </w:r>
      <w:r w:rsidRPr="001C3198">
        <w:rPr>
          <w:iCs/>
          <w:color w:val="000000"/>
          <w:szCs w:val="18"/>
        </w:rPr>
        <w:t>. Zvláštní ujednání</w:t>
      </w:r>
    </w:p>
    <w:p w:rsidR="002B1662" w:rsidRDefault="002B1662" w:rsidP="00510103">
      <w:pPr>
        <w:tabs>
          <w:tab w:val="left" w:pos="3119"/>
          <w:tab w:val="left" w:pos="4962"/>
          <w:tab w:val="left" w:pos="6237"/>
          <w:tab w:val="left" w:pos="7372"/>
        </w:tabs>
        <w:rPr>
          <w:iCs/>
          <w:color w:val="000000"/>
          <w:szCs w:val="18"/>
        </w:rPr>
      </w:pPr>
    </w:p>
    <w:p w:rsidR="002B1662" w:rsidRPr="002B1662" w:rsidRDefault="002B1662" w:rsidP="00510103">
      <w:pPr>
        <w:pStyle w:val="Nadpis2"/>
        <w:numPr>
          <w:ilvl w:val="0"/>
          <w:numId w:val="0"/>
        </w:numPr>
        <w:tabs>
          <w:tab w:val="left" w:pos="567"/>
        </w:tabs>
        <w:ind w:left="567" w:hanging="567"/>
        <w:rPr>
          <w:iCs/>
          <w:szCs w:val="18"/>
        </w:rPr>
      </w:pPr>
      <w:r>
        <w:rPr>
          <w:iCs/>
          <w:color w:val="000000"/>
          <w:szCs w:val="18"/>
        </w:rPr>
        <w:t xml:space="preserve">11.2 </w:t>
      </w:r>
      <w:r w:rsidR="00A40877">
        <w:rPr>
          <w:iCs/>
          <w:color w:val="000000"/>
          <w:szCs w:val="18"/>
        </w:rPr>
        <w:tab/>
      </w:r>
      <w:r w:rsidRPr="002B1662">
        <w:rPr>
          <w:iCs/>
          <w:szCs w:val="18"/>
        </w:rPr>
        <w:t>V případě, že by z jakéhokoli důvodu došlo ke změně vlastnictví k předmětu zajištění, který slouží k zajištění dluhů Klienta vůči Bance, zajišťovaný dluh bez předchozího výslovného písemného souhlasu Banky nepřechází na nabyvatele předmětu zajištění.</w:t>
      </w:r>
    </w:p>
    <w:p w:rsidR="002B1662" w:rsidRPr="001C3198" w:rsidRDefault="002B1662" w:rsidP="00510103">
      <w:pPr>
        <w:tabs>
          <w:tab w:val="left" w:pos="3119"/>
          <w:tab w:val="left" w:pos="4962"/>
          <w:tab w:val="left" w:pos="6237"/>
          <w:tab w:val="left" w:pos="7372"/>
        </w:tabs>
        <w:rPr>
          <w:iCs/>
          <w:color w:val="000000"/>
          <w:szCs w:val="18"/>
        </w:rPr>
      </w:pPr>
    </w:p>
    <w:p w:rsidR="00525B3F" w:rsidRPr="008C4B06" w:rsidRDefault="00525B3F" w:rsidP="00510103">
      <w:pPr>
        <w:pStyle w:val="Nadpis1"/>
      </w:pPr>
      <w:r w:rsidRPr="008C4B06">
        <w:t>Zvláštní ujednání</w:t>
      </w:r>
    </w:p>
    <w:p w:rsidR="00525B3F" w:rsidRPr="00E06556" w:rsidRDefault="00525B3F" w:rsidP="00510103">
      <w:pPr>
        <w:pStyle w:val="Nadpis2"/>
        <w:rPr>
          <w:rFonts w:cs="Arial"/>
          <w:b/>
        </w:rPr>
      </w:pPr>
      <w:r w:rsidRPr="00E06556">
        <w:rPr>
          <w:rFonts w:cs="Arial"/>
          <w:b/>
        </w:rPr>
        <w:t>Další odkládací podmínky prvního čerpání</w:t>
      </w:r>
    </w:p>
    <w:p w:rsidR="00525B3F" w:rsidRPr="008C4B06" w:rsidRDefault="00525B3F" w:rsidP="00510103">
      <w:pPr>
        <w:spacing w:after="120"/>
        <w:ind w:left="426"/>
        <w:rPr>
          <w:rFonts w:cs="Arial"/>
        </w:rPr>
      </w:pPr>
      <w:r w:rsidRPr="008C4B06">
        <w:rPr>
          <w:rFonts w:cs="Arial"/>
        </w:rPr>
        <w:t>Nad rámec článku VI. odstavec 1 Úvěrových podmínek jsou pro první Čerpání sjednány následující Odkládací podmínky čerpání:</w:t>
      </w:r>
    </w:p>
    <w:p w:rsidR="0069189C" w:rsidRDefault="00525B3F" w:rsidP="00510103">
      <w:pPr>
        <w:tabs>
          <w:tab w:val="left" w:pos="400"/>
        </w:tabs>
        <w:ind w:left="567" w:hanging="567"/>
        <w:rPr>
          <w:rStyle w:val="AnapovedaM"/>
          <w:vanish w:val="0"/>
          <w:szCs w:val="16"/>
        </w:rPr>
      </w:pPr>
      <w:r w:rsidRPr="008C4B06">
        <w:rPr>
          <w:rFonts w:cs="Arial"/>
        </w:rPr>
        <w:t>12.1.1</w:t>
      </w:r>
      <w:r w:rsidR="0069189C">
        <w:rPr>
          <w:rFonts w:cs="Arial"/>
        </w:rPr>
        <w:t xml:space="preserve"> </w:t>
      </w:r>
      <w:r w:rsidR="0069189C" w:rsidRPr="00AB2A55">
        <w:t xml:space="preserve">Odkládací podmínkou čerpání je ověření Bankou, že tato Smlouva (včetně všech dokumentů, které tvoří součást Smlouvy) byla prostřednictvím registru smluv řádně uveřejněna v souladu se zákonem č. 340/2015 Sb., o registru smluv, ve znění pozdějších předpisů. Klient se zavazuje odeslat tuto Smlouvu (včetně všech dokumentů, které tvoří její součást) k uveřejnění v registru smluv bez prodlení po jejím uzavření.  Klient se dále zavazuje, že Banka obdrží potvrzení o uveřejnění v registru smluv zasílané správcem registru smluv na e-mailovou adresu Banky </w:t>
      </w:r>
      <w:r w:rsidR="0069189C" w:rsidRPr="001D14F0">
        <w:fldChar w:fldCharType="begin">
          <w:ffData>
            <w:name w:val=""/>
            <w:enabled/>
            <w:calcOnExit w:val="0"/>
            <w:textInput/>
          </w:ffData>
        </w:fldChar>
      </w:r>
      <w:r w:rsidR="0069189C" w:rsidRPr="001D14F0">
        <w:instrText xml:space="preserve"> FORMTEXT </w:instrText>
      </w:r>
      <w:r w:rsidR="0069189C" w:rsidRPr="001D14F0">
        <w:fldChar w:fldCharType="separate"/>
      </w:r>
      <w:r w:rsidR="0069189C" w:rsidRPr="001D14F0">
        <w:t>cap4080skp@kb.cz</w:t>
      </w:r>
      <w:r w:rsidR="0069189C" w:rsidRPr="001D14F0">
        <w:fldChar w:fldCharType="end"/>
      </w:r>
      <w:r w:rsidR="0069189C" w:rsidRPr="00AB2A55">
        <w:t xml:space="preserve"> . Banka za tím účelem zašle Klientovi znění této Smlouvy (včetně všech dokumentů, které tvoří její součást) na e-mailovou adresu </w:t>
      </w:r>
      <w:r w:rsidR="002A0E9F">
        <w:t>jochova.e</w:t>
      </w:r>
      <w:r w:rsidR="002A0E9F" w:rsidRPr="002A0E9F">
        <w:rPr>
          <w:rStyle w:val="AnapovedaM"/>
          <w:vanish w:val="0"/>
          <w:color w:val="auto"/>
          <w:szCs w:val="16"/>
        </w:rPr>
        <w:t>@</w:t>
      </w:r>
      <w:r w:rsidR="002A0E9F" w:rsidRPr="002A0E9F">
        <w:rPr>
          <w:rStyle w:val="AnapovedaM"/>
          <w:vanish w:val="0"/>
          <w:color w:val="auto"/>
          <w:sz w:val="18"/>
          <w:szCs w:val="18"/>
        </w:rPr>
        <w:t>vesbyt.cz</w:t>
      </w:r>
      <w:r w:rsidR="002A0E9F">
        <w:rPr>
          <w:rStyle w:val="AnapovedaM"/>
          <w:vanish w:val="0"/>
          <w:color w:val="auto"/>
          <w:sz w:val="18"/>
          <w:szCs w:val="18"/>
        </w:rPr>
        <w:t>.</w:t>
      </w:r>
    </w:p>
    <w:p w:rsidR="0069189C" w:rsidRDefault="0069189C" w:rsidP="00510103">
      <w:pPr>
        <w:tabs>
          <w:tab w:val="left" w:pos="400"/>
        </w:tabs>
        <w:ind w:left="567" w:hanging="567"/>
        <w:rPr>
          <w:rStyle w:val="AnapovedaM"/>
          <w:vanish w:val="0"/>
          <w:szCs w:val="16"/>
        </w:rPr>
      </w:pPr>
    </w:p>
    <w:p w:rsidR="0069189C" w:rsidRPr="00042B75" w:rsidRDefault="0069189C" w:rsidP="00510103">
      <w:pPr>
        <w:tabs>
          <w:tab w:val="left" w:pos="400"/>
        </w:tabs>
        <w:ind w:left="400" w:hanging="380"/>
      </w:pPr>
      <w:r>
        <w:t xml:space="preserve">12.1.2 </w:t>
      </w:r>
      <w:r w:rsidRPr="00042B75">
        <w:t>Odkládací podmínkou čerpání je předložení smlouvy (případně smluv) o díl</w:t>
      </w:r>
      <w:r w:rsidR="001D14F0">
        <w:t xml:space="preserve">o na Objekt úvěru uzavřené mezi Klientem </w:t>
      </w:r>
      <w:r w:rsidRPr="00042B75">
        <w:t xml:space="preserve">a dodavatelem, která bude prokazovat sjednání pevné ceny maximálně ve výši </w:t>
      </w:r>
      <w:r>
        <w:t>21 001 566,00</w:t>
      </w:r>
      <w:r w:rsidRPr="00042B75">
        <w:t xml:space="preserve"> </w:t>
      </w:r>
      <w:r>
        <w:t>Kč</w:t>
      </w:r>
      <w:r w:rsidRPr="00042B75">
        <w:t>.</w:t>
      </w:r>
    </w:p>
    <w:p w:rsidR="0069189C" w:rsidRPr="00AB2A55" w:rsidRDefault="0069189C" w:rsidP="00510103">
      <w:pPr>
        <w:tabs>
          <w:tab w:val="left" w:pos="400"/>
        </w:tabs>
        <w:ind w:left="567" w:hanging="567"/>
      </w:pPr>
    </w:p>
    <w:p w:rsidR="00525B3F" w:rsidRPr="008C4B06" w:rsidRDefault="00525B3F" w:rsidP="00510103">
      <w:pPr>
        <w:spacing w:after="120"/>
        <w:ind w:left="1134" w:hanging="708"/>
        <w:rPr>
          <w:rFonts w:cs="Arial"/>
        </w:rPr>
      </w:pPr>
      <w:r w:rsidRPr="008C4B06">
        <w:rPr>
          <w:rFonts w:cs="Arial"/>
        </w:rPr>
        <w:tab/>
      </w:r>
    </w:p>
    <w:p w:rsidR="00525B3F" w:rsidRPr="0069189C" w:rsidRDefault="00525B3F" w:rsidP="00510103">
      <w:pPr>
        <w:pStyle w:val="Nadpis2"/>
        <w:rPr>
          <w:rFonts w:cs="Arial"/>
          <w:b/>
        </w:rPr>
      </w:pPr>
      <w:r w:rsidRPr="0069189C">
        <w:rPr>
          <w:rFonts w:cs="Arial"/>
          <w:b/>
        </w:rPr>
        <w:t>Další odkládací podmínky každého čerpání</w:t>
      </w:r>
    </w:p>
    <w:p w:rsidR="00525B3F" w:rsidRPr="008C4B06" w:rsidRDefault="00525B3F" w:rsidP="00510103">
      <w:pPr>
        <w:spacing w:after="120"/>
        <w:ind w:left="426"/>
        <w:rPr>
          <w:rFonts w:cs="Arial"/>
        </w:rPr>
      </w:pPr>
      <w:r w:rsidRPr="008C4B06">
        <w:rPr>
          <w:rFonts w:cs="Arial"/>
        </w:rPr>
        <w:t>Nad rámec článku VI. odstavec 2 Úvěrových podmínek jsou pro každé Čerpání sjednány následující Odkládací podmínky čerpání:</w:t>
      </w:r>
    </w:p>
    <w:p w:rsidR="0069189C" w:rsidRPr="00042B75" w:rsidRDefault="00525B3F" w:rsidP="00510103">
      <w:pPr>
        <w:pStyle w:val="StylVlevo0cmPedsazen075cmVpravo-001cm"/>
        <w:tabs>
          <w:tab w:val="left" w:pos="400"/>
        </w:tabs>
        <w:ind w:left="400" w:hanging="380"/>
      </w:pPr>
      <w:r w:rsidRPr="008C4B06">
        <w:rPr>
          <w:rFonts w:cs="Arial"/>
        </w:rPr>
        <w:t>12.2.1</w:t>
      </w:r>
      <w:r w:rsidR="00510103">
        <w:rPr>
          <w:rFonts w:cs="Arial"/>
        </w:rPr>
        <w:t xml:space="preserve"> </w:t>
      </w:r>
      <w:r w:rsidR="0069189C" w:rsidRPr="00042B75">
        <w:t>Odkládací</w:t>
      </w:r>
      <w:r w:rsidR="001D14F0">
        <w:t xml:space="preserve"> </w:t>
      </w:r>
      <w:r w:rsidR="0069189C" w:rsidRPr="00042B75">
        <w:t xml:space="preserve">podmínkou každého čerpání je předložení dokladů </w:t>
      </w:r>
      <w:r w:rsidR="0069189C">
        <w:t>faktur</w:t>
      </w:r>
      <w:r w:rsidR="0069189C" w:rsidRPr="00042B75">
        <w:t>, kterými Klient prokáže účelovost Čerpání</w:t>
      </w:r>
      <w:r w:rsidR="001D14F0">
        <w:t xml:space="preserve"> </w:t>
      </w:r>
      <w:r w:rsidR="0069189C" w:rsidRPr="00042B75">
        <w:t xml:space="preserve">Úvěru. Čerpání bude provedeno na běžný účet Klienta. Čerpání bude provedeno ve výši </w:t>
      </w:r>
      <w:r w:rsidR="0069189C">
        <w:t>až 100</w:t>
      </w:r>
      <w:r w:rsidR="0069189C" w:rsidRPr="00042B75">
        <w:rPr>
          <w:sz w:val="16"/>
        </w:rPr>
        <w:t xml:space="preserve"> %</w:t>
      </w:r>
      <w:r w:rsidR="0069189C" w:rsidRPr="00042B75">
        <w:t xml:space="preserve"> </w:t>
      </w:r>
      <w:r w:rsidR="0069189C">
        <w:t>bez d</w:t>
      </w:r>
      <w:r w:rsidR="001D14F0">
        <w:rPr>
          <w:color w:val="000000"/>
        </w:rPr>
        <w:t xml:space="preserve">aně </w:t>
      </w:r>
      <w:r w:rsidR="0069189C" w:rsidRPr="00042B75">
        <w:rPr>
          <w:color w:val="000000"/>
        </w:rPr>
        <w:t>z přidané hodnoty.</w:t>
      </w:r>
    </w:p>
    <w:p w:rsidR="00525B3F" w:rsidRPr="008C4B06" w:rsidRDefault="00525B3F" w:rsidP="00510103">
      <w:pPr>
        <w:spacing w:after="120"/>
        <w:ind w:left="1134" w:hanging="708"/>
        <w:rPr>
          <w:rFonts w:cs="Arial"/>
        </w:rPr>
      </w:pPr>
      <w:r w:rsidRPr="008C4B06">
        <w:rPr>
          <w:rFonts w:cs="Arial"/>
        </w:rPr>
        <w:tab/>
      </w:r>
    </w:p>
    <w:p w:rsidR="00525B3F" w:rsidRDefault="00525B3F" w:rsidP="00510103">
      <w:pPr>
        <w:pStyle w:val="Nadpis2"/>
        <w:rPr>
          <w:rFonts w:cs="Arial"/>
          <w:b/>
        </w:rPr>
      </w:pPr>
      <w:r w:rsidRPr="008C4B06">
        <w:rPr>
          <w:rFonts w:cs="Arial"/>
          <w:b/>
        </w:rPr>
        <w:t>Další ujednání</w:t>
      </w:r>
    </w:p>
    <w:p w:rsidR="0069189C" w:rsidRDefault="0069189C" w:rsidP="00510103"/>
    <w:p w:rsidR="0069189C" w:rsidRDefault="0069189C" w:rsidP="00510103">
      <w:pPr>
        <w:tabs>
          <w:tab w:val="left" w:pos="400"/>
        </w:tabs>
        <w:adjustRightInd/>
        <w:ind w:left="400" w:hanging="380"/>
        <w:textAlignment w:val="auto"/>
      </w:pPr>
      <w:r>
        <w:t xml:space="preserve">12.3.1 </w:t>
      </w:r>
      <w:r w:rsidRPr="00042B75">
        <w:t>Klient bere na vědomí, že projekt, jehož realizace je financována z Úvěru, se účastní programu „</w:t>
      </w:r>
      <w:proofErr w:type="spellStart"/>
      <w:r w:rsidRPr="00042B75">
        <w:t>Private</w:t>
      </w:r>
      <w:proofErr w:type="spellEnd"/>
      <w:r w:rsidRPr="00042B75">
        <w:t xml:space="preserve"> Finance</w:t>
      </w:r>
      <w:r w:rsidR="001D14F0">
        <w:t xml:space="preserve"> </w:t>
      </w:r>
      <w:proofErr w:type="spellStart"/>
      <w:r w:rsidRPr="00042B75">
        <w:t>for</w:t>
      </w:r>
      <w:proofErr w:type="spellEnd"/>
      <w:r w:rsidRPr="00042B75">
        <w:t xml:space="preserve"> </w:t>
      </w:r>
      <w:proofErr w:type="spellStart"/>
      <w:r w:rsidRPr="00042B75">
        <w:t>Energy</w:t>
      </w:r>
      <w:proofErr w:type="spellEnd"/>
      <w:r w:rsidRPr="00042B75">
        <w:t xml:space="preserve"> </w:t>
      </w:r>
      <w:proofErr w:type="spellStart"/>
      <w:r w:rsidRPr="00042B75">
        <w:t>Efficiency</w:t>
      </w:r>
      <w:proofErr w:type="spellEnd"/>
      <w:r w:rsidRPr="00042B75">
        <w:t xml:space="preserve"> Instrument“ (dále „</w:t>
      </w:r>
      <w:proofErr w:type="spellStart"/>
      <w:r w:rsidRPr="00042B75">
        <w:rPr>
          <w:b/>
          <w:bCs/>
        </w:rPr>
        <w:t>EuroEnergie</w:t>
      </w:r>
      <w:proofErr w:type="spellEnd"/>
      <w:r w:rsidRPr="00042B75">
        <w:t>“), sjednaného mezi Evropskou investiční bankou (dále jen</w:t>
      </w:r>
      <w:r w:rsidR="001D14F0">
        <w:t xml:space="preserve"> </w:t>
      </w:r>
      <w:r w:rsidRPr="00042B75">
        <w:t>„</w:t>
      </w:r>
      <w:r w:rsidRPr="00042B75">
        <w:rPr>
          <w:b/>
          <w:bCs/>
        </w:rPr>
        <w:t>EIB</w:t>
      </w:r>
      <w:r w:rsidRPr="00042B75">
        <w:t>“) a Bankou,</w:t>
      </w:r>
      <w:r w:rsidR="001D14F0">
        <w:t xml:space="preserve"> K</w:t>
      </w:r>
      <w:r w:rsidRPr="00042B75">
        <w:t>lient se zavazuje současně s podpisem této Smlouvy podepsat „Prohlášení klienta o splnění podmínek</w:t>
      </w:r>
      <w:r w:rsidR="001D14F0">
        <w:t xml:space="preserve"> </w:t>
      </w:r>
      <w:r w:rsidRPr="00042B75">
        <w:t xml:space="preserve">programu </w:t>
      </w:r>
      <w:proofErr w:type="spellStart"/>
      <w:r w:rsidRPr="00042B75">
        <w:t>EuroEnergie</w:t>
      </w:r>
      <w:proofErr w:type="spellEnd"/>
      <w:r w:rsidRPr="00042B75">
        <w:t>“, které je přílohou a nedílnou součástí této Smlouvy (dále jen „</w:t>
      </w:r>
      <w:r w:rsidRPr="00042B75">
        <w:rPr>
          <w:b/>
          <w:bCs/>
        </w:rPr>
        <w:t>Prohlášení</w:t>
      </w:r>
      <w:r w:rsidRPr="00042B75">
        <w:t>“). Klient prohlašuje, že informace uvedené v Prohlášení jsou pravdivé. Klient se zavazuje poskytnout informace a</w:t>
      </w:r>
      <w:r w:rsidR="001D14F0">
        <w:t xml:space="preserve"> </w:t>
      </w:r>
      <w:r w:rsidRPr="00042B75">
        <w:t>dokumenty potvrzující pravdivost Prohlášení, a dále bezodkladně informovat Banku, jestliže zjistí, že některé</w:t>
      </w:r>
      <w:r w:rsidR="001D14F0">
        <w:t xml:space="preserve"> </w:t>
      </w:r>
      <w:r w:rsidRPr="00042B75">
        <w:t>informace uvedené v Prohlášení se stanou nepravdivými.</w:t>
      </w:r>
      <w:r w:rsidR="001D14F0">
        <w:t xml:space="preserve"> </w:t>
      </w:r>
      <w:r>
        <w:t xml:space="preserve">  </w:t>
      </w:r>
      <w:r w:rsidRPr="00042B75">
        <w:t>Banka je oprávněna postupovat dle článku XIII. odstavce 3 písm. b) Úvěrových podmínek, pokud je nebo se stane</w:t>
      </w:r>
      <w:r w:rsidR="001D14F0">
        <w:t xml:space="preserve"> </w:t>
      </w:r>
      <w:r w:rsidRPr="00042B75">
        <w:t>kterákoli část Prohlášení nepravdivá, neúplná či zavádějící.</w:t>
      </w:r>
    </w:p>
    <w:p w:rsidR="0069189C" w:rsidRDefault="0069189C" w:rsidP="00510103">
      <w:pPr>
        <w:tabs>
          <w:tab w:val="left" w:pos="400"/>
        </w:tabs>
        <w:adjustRightInd/>
        <w:ind w:left="400"/>
        <w:textAlignment w:val="auto"/>
      </w:pPr>
    </w:p>
    <w:p w:rsidR="0069189C" w:rsidRPr="0069189C" w:rsidRDefault="0069189C" w:rsidP="00510103">
      <w:pPr>
        <w:tabs>
          <w:tab w:val="left" w:pos="567"/>
        </w:tabs>
        <w:adjustRightInd/>
        <w:ind w:left="567" w:hanging="567"/>
        <w:textAlignment w:val="auto"/>
      </w:pPr>
      <w:r>
        <w:lastRenderedPageBreak/>
        <w:t xml:space="preserve">12.3.2 </w:t>
      </w:r>
      <w:r w:rsidRPr="00A40877">
        <w:t>Banka se zavazuje, že na žádost Klienta uzavře s Klientem dodatek k této Smlouvě, kterým dle požadavku</w:t>
      </w:r>
      <w:r w:rsidR="00BD19ED" w:rsidRPr="00A40877">
        <w:t xml:space="preserve"> </w:t>
      </w:r>
      <w:r w:rsidR="001D14F0">
        <w:t xml:space="preserve">      </w:t>
      </w:r>
      <w:r w:rsidRPr="00A40877">
        <w:t>Klienta sjedná (i) prodloužení Doby čerpání a prodloužení splatnosti jistiny Úvěru, maximálně však o 12 měsíců, a</w:t>
      </w:r>
      <w:r w:rsidR="001D14F0">
        <w:t xml:space="preserve"> </w:t>
      </w:r>
      <w:r w:rsidRPr="00A40877">
        <w:t>to bez jakýchkoliv poplatků a sankcí</w:t>
      </w:r>
      <w:r w:rsidR="00BD19ED" w:rsidRPr="00A40877">
        <w:t>; tím nejsou dotčena ustanovení článku 9 této Smlouvy, pokud byla sjednána Strukturovaná sazba.</w:t>
      </w:r>
      <w:r w:rsidRPr="00A40877">
        <w:t xml:space="preserve"> Klient se zavazuje písemnou žádost dle tohoto článku doručit Bance 25 Obchodních dnů před uplynutím lhůty, jejíž prodloužení požaduje.</w:t>
      </w:r>
    </w:p>
    <w:p w:rsidR="0069189C" w:rsidRPr="0069189C" w:rsidRDefault="0069189C" w:rsidP="00510103"/>
    <w:p w:rsidR="00525B3F" w:rsidRDefault="00525B3F" w:rsidP="00510103">
      <w:pPr>
        <w:spacing w:after="120"/>
        <w:ind w:left="567" w:hanging="567"/>
        <w:rPr>
          <w:rFonts w:cs="Arial"/>
        </w:rPr>
      </w:pPr>
      <w:r w:rsidRPr="008C4B06">
        <w:rPr>
          <w:rFonts w:cs="Arial"/>
        </w:rPr>
        <w:t>12.</w:t>
      </w:r>
      <w:r w:rsidR="0069189C">
        <w:rPr>
          <w:rFonts w:cs="Arial"/>
        </w:rPr>
        <w:t>3</w:t>
      </w:r>
      <w:r w:rsidRPr="008C4B06">
        <w:rPr>
          <w:rFonts w:cs="Arial"/>
        </w:rPr>
        <w:t>.</w:t>
      </w:r>
      <w:r w:rsidR="0069189C">
        <w:rPr>
          <w:rFonts w:cs="Arial"/>
        </w:rPr>
        <w:t>3</w:t>
      </w:r>
      <w:r w:rsidRPr="008C4B06">
        <w:rPr>
          <w:rFonts w:cs="Arial"/>
        </w:rPr>
        <w:tab/>
        <w:t>Klient a Banka se dohodli, že Banka bude Klienta informovat o výši své pohledávky za Klientem z této Smlouvy</w:t>
      </w:r>
      <w:r w:rsidR="001D14F0">
        <w:rPr>
          <w:rFonts w:cs="Arial"/>
        </w:rPr>
        <w:t xml:space="preserve"> </w:t>
      </w:r>
      <w:r w:rsidRPr="008C4B06">
        <w:rPr>
          <w:rFonts w:cs="Arial"/>
        </w:rPr>
        <w:t>oznámením o výši pohledávky (výpisem), a to následovně:</w:t>
      </w:r>
    </w:p>
    <w:p w:rsidR="00525B3F" w:rsidRPr="008C4B06" w:rsidRDefault="00525B3F" w:rsidP="00510103">
      <w:pPr>
        <w:spacing w:after="120"/>
        <w:ind w:firstLine="567"/>
        <w:rPr>
          <w:rFonts w:cs="Arial"/>
          <w:szCs w:val="18"/>
        </w:rPr>
      </w:pPr>
      <w:r w:rsidRPr="008C4B06">
        <w:rPr>
          <w:rFonts w:cs="Arial"/>
          <w:szCs w:val="18"/>
        </w:rPr>
        <w:t xml:space="preserve">Způsob zasílání výpisů: </w:t>
      </w:r>
      <w:r w:rsidR="000018B8">
        <w:rPr>
          <w:rFonts w:cs="Arial"/>
          <w:szCs w:val="18"/>
        </w:rPr>
        <w:fldChar w:fldCharType="begin">
          <w:ffData>
            <w:name w:val=""/>
            <w:enabled/>
            <w:calcOnExit w:val="0"/>
            <w:textInput>
              <w:default w:val="elektronicky "/>
            </w:textInput>
          </w:ffData>
        </w:fldChar>
      </w:r>
      <w:r w:rsidR="000018B8">
        <w:rPr>
          <w:rFonts w:cs="Arial"/>
          <w:szCs w:val="18"/>
        </w:rPr>
        <w:instrText xml:space="preserve"> FORMTEXT </w:instrText>
      </w:r>
      <w:r w:rsidR="000018B8">
        <w:rPr>
          <w:rFonts w:cs="Arial"/>
          <w:szCs w:val="18"/>
        </w:rPr>
      </w:r>
      <w:r w:rsidR="000018B8">
        <w:rPr>
          <w:rFonts w:cs="Arial"/>
          <w:szCs w:val="18"/>
        </w:rPr>
        <w:fldChar w:fldCharType="separate"/>
      </w:r>
      <w:r w:rsidR="000018B8">
        <w:rPr>
          <w:rFonts w:cs="Arial"/>
          <w:noProof/>
          <w:szCs w:val="18"/>
        </w:rPr>
        <w:t xml:space="preserve">elektronicky </w:t>
      </w:r>
      <w:r w:rsidR="000018B8">
        <w:rPr>
          <w:rFonts w:cs="Arial"/>
          <w:szCs w:val="18"/>
        </w:rPr>
        <w:fldChar w:fldCharType="end"/>
      </w:r>
      <w:r w:rsidRPr="008C4B06">
        <w:rPr>
          <w:rFonts w:cs="Arial"/>
          <w:szCs w:val="18"/>
        </w:rPr>
        <w:t>.</w:t>
      </w:r>
    </w:p>
    <w:p w:rsidR="00525B3F" w:rsidRPr="008C4B06" w:rsidRDefault="00525B3F" w:rsidP="00510103">
      <w:pPr>
        <w:spacing w:after="120"/>
        <w:ind w:firstLine="567"/>
        <w:rPr>
          <w:rFonts w:cs="Arial"/>
          <w:szCs w:val="18"/>
        </w:rPr>
      </w:pPr>
      <w:r w:rsidRPr="008C4B06">
        <w:rPr>
          <w:rFonts w:cs="Arial"/>
          <w:szCs w:val="18"/>
        </w:rPr>
        <w:t xml:space="preserve">Četnost zasílání výpisů: </w:t>
      </w:r>
      <w:r w:rsidR="000018B8">
        <w:rPr>
          <w:rFonts w:cs="Arial"/>
        </w:rPr>
        <w:fldChar w:fldCharType="begin">
          <w:ffData>
            <w:name w:val="VypisyInterval"/>
            <w:enabled/>
            <w:calcOnExit w:val="0"/>
            <w:textInput>
              <w:default w:val="měsíčně výdy k 1. dni kalendářního měsíce"/>
            </w:textInput>
          </w:ffData>
        </w:fldChar>
      </w:r>
      <w:bookmarkStart w:id="31" w:name="VypisyInterval"/>
      <w:r w:rsidR="000018B8">
        <w:rPr>
          <w:rFonts w:cs="Arial"/>
        </w:rPr>
        <w:instrText xml:space="preserve"> FORMTEXT </w:instrText>
      </w:r>
      <w:r w:rsidR="000018B8">
        <w:rPr>
          <w:rFonts w:cs="Arial"/>
        </w:rPr>
      </w:r>
      <w:r w:rsidR="000018B8">
        <w:rPr>
          <w:rFonts w:cs="Arial"/>
        </w:rPr>
        <w:fldChar w:fldCharType="separate"/>
      </w:r>
      <w:r w:rsidR="000018B8">
        <w:rPr>
          <w:rFonts w:cs="Arial"/>
          <w:noProof/>
        </w:rPr>
        <w:t>měsíčně výdy k 1. dni kalendářního měsíce</w:t>
      </w:r>
      <w:r w:rsidR="000018B8">
        <w:rPr>
          <w:rFonts w:cs="Arial"/>
        </w:rPr>
        <w:fldChar w:fldCharType="end"/>
      </w:r>
      <w:bookmarkEnd w:id="31"/>
      <w:r w:rsidRPr="008C4B06">
        <w:rPr>
          <w:rFonts w:cs="Arial"/>
          <w:szCs w:val="18"/>
        </w:rPr>
        <w:t>.</w:t>
      </w:r>
    </w:p>
    <w:p w:rsidR="00525B3F" w:rsidRDefault="006F5903" w:rsidP="00510103">
      <w:pPr>
        <w:spacing w:after="120"/>
        <w:ind w:left="567"/>
        <w:rPr>
          <w:rFonts w:cs="Arial"/>
        </w:rPr>
      </w:pPr>
      <w:r w:rsidRPr="008C4B06">
        <w:rPr>
          <w:rFonts w:cs="Arial"/>
        </w:rPr>
        <w:t xml:space="preserve">Klient je </w:t>
      </w:r>
      <w:r w:rsidRPr="008C4B06">
        <w:rPr>
          <w:rFonts w:cs="Arial"/>
          <w:szCs w:val="18"/>
        </w:rPr>
        <w:t>oprávněn</w:t>
      </w:r>
      <w:r w:rsidRPr="008C4B06">
        <w:rPr>
          <w:rFonts w:cs="Arial"/>
        </w:rPr>
        <w:t xml:space="preserve"> sjednat způsob zasílání výpisů na Klientově obchodním místě nebo prostřednictvím sjednané</w:t>
      </w:r>
      <w:r>
        <w:rPr>
          <w:rFonts w:cs="Arial"/>
        </w:rPr>
        <w:t xml:space="preserve"> Bankovní</w:t>
      </w:r>
      <w:r w:rsidRPr="008C4B06">
        <w:rPr>
          <w:rFonts w:cs="Arial"/>
        </w:rPr>
        <w:t xml:space="preserve"> služby (např. přímého bankovnictví), která to umožňuje, a to za podmínek platných pro tuto</w:t>
      </w:r>
      <w:r>
        <w:rPr>
          <w:rFonts w:cs="Arial"/>
        </w:rPr>
        <w:t xml:space="preserve"> Bankovní</w:t>
      </w:r>
      <w:r w:rsidRPr="008C4B06">
        <w:rPr>
          <w:rFonts w:cs="Arial"/>
        </w:rPr>
        <w:t xml:space="preserve"> službu</w:t>
      </w:r>
      <w:r w:rsidR="00525B3F" w:rsidRPr="008C4B06">
        <w:rPr>
          <w:rFonts w:cs="Arial"/>
        </w:rPr>
        <w:t>.</w:t>
      </w:r>
    </w:p>
    <w:p w:rsidR="006F5903" w:rsidRPr="008C4B06" w:rsidRDefault="006F5903" w:rsidP="00510103">
      <w:pPr>
        <w:spacing w:after="120"/>
        <w:ind w:left="567"/>
        <w:rPr>
          <w:rFonts w:cs="Arial"/>
        </w:rPr>
      </w:pPr>
      <w:r w:rsidRPr="008C4B06">
        <w:rPr>
          <w:rFonts w:cs="Arial"/>
        </w:rPr>
        <w:t>V případě sjednání elektronických výpisů, budou výpisy Klientovi doručovány elektronicky prostřednictvím příslušné</w:t>
      </w:r>
      <w:r>
        <w:rPr>
          <w:rFonts w:cs="Arial"/>
        </w:rPr>
        <w:t xml:space="preserve"> Bankovní</w:t>
      </w:r>
      <w:r w:rsidRPr="008C4B06">
        <w:rPr>
          <w:rFonts w:cs="Arial"/>
        </w:rPr>
        <w:t xml:space="preserve"> služby.</w:t>
      </w:r>
      <w:r>
        <w:rPr>
          <w:rFonts w:cs="Arial"/>
        </w:rPr>
        <w:t xml:space="preserve"> V </w:t>
      </w:r>
      <w:r w:rsidRPr="008C4B06">
        <w:rPr>
          <w:rFonts w:cs="Arial"/>
        </w:rPr>
        <w:t>případě</w:t>
      </w:r>
      <w:r>
        <w:rPr>
          <w:rFonts w:cs="Arial"/>
        </w:rPr>
        <w:t xml:space="preserve"> jejího</w:t>
      </w:r>
      <w:r w:rsidRPr="008C4B06">
        <w:rPr>
          <w:rFonts w:cs="Arial"/>
        </w:rPr>
        <w:t xml:space="preserve"> </w:t>
      </w:r>
      <w:r w:rsidRPr="008C4B06">
        <w:rPr>
          <w:rFonts w:cs="Arial"/>
          <w:szCs w:val="18"/>
        </w:rPr>
        <w:t>zrušení</w:t>
      </w:r>
      <w:r w:rsidRPr="008C4B06">
        <w:rPr>
          <w:rFonts w:cs="Arial"/>
        </w:rPr>
        <w:t xml:space="preserve"> budou Klientovi doručovány výpisy v tištěné (papírové) podobě, a to při zachování četnosti</w:t>
      </w:r>
      <w:r>
        <w:rPr>
          <w:rFonts w:cs="Arial"/>
        </w:rPr>
        <w:t xml:space="preserve"> sjednané</w:t>
      </w:r>
      <w:r w:rsidRPr="008C4B06">
        <w:rPr>
          <w:rFonts w:cs="Arial"/>
        </w:rPr>
        <w:t xml:space="preserve"> pro elektronické výpisy. V případě zasílání tištěných (papírových) výpisů budou Klientovi výpisy doručovány způsobem sjednaným pro doručování ostatních Zásilek</w:t>
      </w:r>
      <w:r>
        <w:rPr>
          <w:rFonts w:cs="Arial"/>
        </w:rPr>
        <w:t>.</w:t>
      </w:r>
    </w:p>
    <w:p w:rsidR="00525B3F" w:rsidRPr="0069189C" w:rsidRDefault="00525B3F" w:rsidP="00510103">
      <w:pPr>
        <w:pStyle w:val="Nadpis2"/>
        <w:rPr>
          <w:rFonts w:cs="Arial"/>
          <w:b/>
        </w:rPr>
      </w:pPr>
      <w:r w:rsidRPr="0069189C">
        <w:rPr>
          <w:rFonts w:cs="Arial"/>
          <w:b/>
        </w:rPr>
        <w:t>Vyloučení aplikace úvěrových podmínek</w:t>
      </w:r>
    </w:p>
    <w:p w:rsidR="0069189C" w:rsidRPr="00A40877" w:rsidRDefault="0069189C" w:rsidP="00510103">
      <w:pPr>
        <w:pStyle w:val="StylVlevo0cmPedsazen075cmVpravo-001cm"/>
        <w:numPr>
          <w:ilvl w:val="2"/>
          <w:numId w:val="36"/>
        </w:numPr>
        <w:tabs>
          <w:tab w:val="left" w:pos="567"/>
        </w:tabs>
        <w:ind w:left="567" w:hanging="567"/>
      </w:pPr>
      <w:r w:rsidRPr="00A40877">
        <w:t>Klient a Banka se dohodli, že článek X., odstavec 2 Úvěrových podmínek se na vztahy mezi Bankou a Klientem nepoužije.</w:t>
      </w:r>
    </w:p>
    <w:p w:rsidR="0069189C" w:rsidRPr="00A40877" w:rsidRDefault="0069189C" w:rsidP="00510103">
      <w:pPr>
        <w:pStyle w:val="StylVlevo0cmPedsazen075cmVpravo-001cm"/>
        <w:tabs>
          <w:tab w:val="left" w:pos="400"/>
        </w:tabs>
        <w:ind w:left="0" w:firstLine="0"/>
      </w:pPr>
    </w:p>
    <w:p w:rsidR="0069189C" w:rsidRPr="00A40877" w:rsidRDefault="0069189C" w:rsidP="00510103">
      <w:pPr>
        <w:pStyle w:val="StylVlevo0cmPedsazen075cmVpravo-001cm"/>
        <w:numPr>
          <w:ilvl w:val="2"/>
          <w:numId w:val="36"/>
        </w:numPr>
        <w:tabs>
          <w:tab w:val="left" w:pos="400"/>
        </w:tabs>
        <w:ind w:left="567" w:hanging="567"/>
      </w:pPr>
      <w:r w:rsidRPr="00A40877">
        <w:rPr>
          <w:szCs w:val="18"/>
        </w:rPr>
        <w:t>Klient a Banka se dohodli, že článek VIII. odstavec 9. Úvěrových podmínek se na vztahy mezi Klientem a Bankou upravené touto Smlouvou nepoužije.</w:t>
      </w:r>
    </w:p>
    <w:p w:rsidR="00481539" w:rsidRPr="008C4B06" w:rsidRDefault="008A3E1E" w:rsidP="00510103">
      <w:pPr>
        <w:pStyle w:val="Nadpis1"/>
        <w:rPr>
          <w:rFonts w:cs="Arial"/>
        </w:rPr>
      </w:pPr>
      <w:r w:rsidRPr="008C4B06">
        <w:rPr>
          <w:rFonts w:cs="Arial"/>
        </w:rPr>
        <w:t>Změny a doplnění vymezení pojmů</w:t>
      </w:r>
    </w:p>
    <w:p w:rsidR="008A3E1E" w:rsidRPr="008C4B06" w:rsidRDefault="008A3E1E" w:rsidP="00510103">
      <w:pPr>
        <w:pStyle w:val="Nadpis2"/>
        <w:rPr>
          <w:rFonts w:cs="Arial"/>
        </w:rPr>
      </w:pPr>
      <w:r w:rsidRPr="008C4B06">
        <w:rPr>
          <w:rFonts w:cs="Arial"/>
        </w:rPr>
        <w:t xml:space="preserve">Klient a Banka se dohodli, že v článku XVIII. (Vymezení pojmů) Úvěrových podmínek se níže uvedené pojmy mění následujícím způsobem: </w:t>
      </w:r>
    </w:p>
    <w:p w:rsidR="008A3E1E" w:rsidRPr="008C4B06" w:rsidRDefault="008A3E1E" w:rsidP="00510103">
      <w:pPr>
        <w:spacing w:after="120"/>
        <w:ind w:left="425"/>
        <w:rPr>
          <w:rFonts w:cs="Arial"/>
          <w:bCs/>
        </w:rPr>
      </w:pPr>
      <w:r w:rsidRPr="008C4B06">
        <w:rPr>
          <w:rFonts w:cs="Arial"/>
          <w:bCs/>
        </w:rPr>
        <w:t>„</w:t>
      </w:r>
      <w:r w:rsidRPr="008C4B06">
        <w:rPr>
          <w:rFonts w:cs="Arial"/>
          <w:b/>
          <w:bCs/>
        </w:rPr>
        <w:t>Aktualizace úrokové sazby</w:t>
      </w:r>
      <w:r w:rsidRPr="008C4B06">
        <w:rPr>
          <w:rFonts w:cs="Arial"/>
          <w:bCs/>
        </w:rPr>
        <w:t>“ je aktualizace sazby PRIBOR/LIBOR/EURIBOR, případně jiné dohodnuté úrokové sazby Bankou v případech, kdy Konečný den splatnosti následuje po uplynutí Úrokovacího období, nebo v případě, kdy doba uplatňování Strukturované sazby skončí po uplynutí příslušného kalkulačního období Strukturované sazby (je-li nějaké).</w:t>
      </w:r>
    </w:p>
    <w:p w:rsidR="008A3E1E" w:rsidRPr="008C4B06" w:rsidRDefault="008A3E1E" w:rsidP="00510103">
      <w:pPr>
        <w:spacing w:after="120"/>
        <w:ind w:left="425"/>
        <w:rPr>
          <w:rFonts w:cs="Arial"/>
        </w:rPr>
      </w:pPr>
      <w:r w:rsidRPr="008C4B06">
        <w:rPr>
          <w:rFonts w:cs="Arial"/>
        </w:rPr>
        <w:t>„</w:t>
      </w:r>
      <w:r w:rsidRPr="008C4B06">
        <w:rPr>
          <w:rFonts w:cs="Arial"/>
          <w:b/>
        </w:rPr>
        <w:t>EURIBOR</w:t>
      </w:r>
      <w:r w:rsidRPr="008C4B06">
        <w:rPr>
          <w:rFonts w:cs="Arial"/>
        </w:rPr>
        <w:t xml:space="preserve">“ </w:t>
      </w:r>
      <w:r w:rsidR="00D12C5E" w:rsidRPr="00D12C5E">
        <w:rPr>
          <w:rFonts w:cs="Arial"/>
          <w:bCs/>
        </w:rPr>
        <w:t xml:space="preserve">(evropská mezibankovní nabídková sazba v eurech) je aritmetický průměr sazeb nabízených referenční skupinou bank u vkladů v eurech na určitou dobu 1 až 12 celých měsíců. Výpočet provádí FBE (Evropská bankovní federace) na bázi roku o 360 dnech (metoda </w:t>
      </w:r>
      <w:proofErr w:type="spellStart"/>
      <w:r w:rsidR="00D12C5E" w:rsidRPr="00D12C5E">
        <w:rPr>
          <w:rFonts w:cs="Arial"/>
          <w:bCs/>
        </w:rPr>
        <w:t>Actual</w:t>
      </w:r>
      <w:proofErr w:type="spellEnd"/>
      <w:r w:rsidR="00D12C5E" w:rsidRPr="00D12C5E">
        <w:rPr>
          <w:rFonts w:cs="Arial"/>
          <w:bCs/>
        </w:rPr>
        <w:t xml:space="preserve">/360), zveřejňuje se v 11:00 hodin bruselského času na stránce 248 serveru </w:t>
      </w:r>
      <w:proofErr w:type="spellStart"/>
      <w:r w:rsidR="00D12C5E" w:rsidRPr="00D12C5E">
        <w:rPr>
          <w:rFonts w:cs="Arial"/>
          <w:bCs/>
        </w:rPr>
        <w:t>Telerate</w:t>
      </w:r>
      <w:proofErr w:type="spellEnd"/>
      <w:r w:rsidR="00D12C5E" w:rsidRPr="00D12C5E">
        <w:rPr>
          <w:rFonts w:cs="Arial"/>
          <w:bCs/>
        </w:rPr>
        <w:t>. Kalendářem používaným pro určení data fixace EURIBOR je kalendář TARGET. Pracovním dnem TARGET se rozumí den, kdy je platební systém TARGET otevřen. Pokud je sazba nižší než nula (0), za EURIBOR se bude považovat sazba ve výši nula (0)</w:t>
      </w:r>
      <w:r w:rsidRPr="00D12C5E">
        <w:rPr>
          <w:rFonts w:cs="Arial"/>
          <w:bCs/>
        </w:rPr>
        <w:t>.</w:t>
      </w:r>
    </w:p>
    <w:p w:rsidR="008A3E1E" w:rsidRPr="008C4B06" w:rsidRDefault="006F5903" w:rsidP="00510103">
      <w:pPr>
        <w:spacing w:after="120"/>
        <w:ind w:left="425"/>
        <w:rPr>
          <w:rFonts w:cs="Arial"/>
        </w:rPr>
      </w:pPr>
      <w:r>
        <w:rPr>
          <w:rFonts w:cs="Arial"/>
          <w:spacing w:val="-3"/>
        </w:rPr>
        <w:t>„</w:t>
      </w:r>
      <w:r w:rsidR="008A3E1E" w:rsidRPr="006F5903">
        <w:rPr>
          <w:rFonts w:cs="Arial"/>
          <w:b/>
          <w:spacing w:val="-3"/>
        </w:rPr>
        <w:t>TARGET</w:t>
      </w:r>
      <w:r>
        <w:rPr>
          <w:rFonts w:cs="Arial"/>
          <w:spacing w:val="-3"/>
        </w:rPr>
        <w:t>“</w:t>
      </w:r>
      <w:r w:rsidR="008A3E1E" w:rsidRPr="008C4B06">
        <w:rPr>
          <w:rFonts w:cs="Arial"/>
          <w:spacing w:val="-3"/>
        </w:rPr>
        <w:t xml:space="preserve"> (</w:t>
      </w:r>
      <w:proofErr w:type="spellStart"/>
      <w:r w:rsidR="008A3E1E" w:rsidRPr="008C4B06">
        <w:rPr>
          <w:rFonts w:cs="Arial"/>
          <w:spacing w:val="-3"/>
        </w:rPr>
        <w:t>Transeuropean</w:t>
      </w:r>
      <w:proofErr w:type="spellEnd"/>
      <w:r w:rsidR="008A3E1E" w:rsidRPr="008C4B06">
        <w:rPr>
          <w:rFonts w:cs="Arial"/>
          <w:spacing w:val="-3"/>
        </w:rPr>
        <w:t xml:space="preserve"> </w:t>
      </w:r>
      <w:proofErr w:type="spellStart"/>
      <w:r w:rsidR="008A3E1E" w:rsidRPr="008C4B06">
        <w:rPr>
          <w:rFonts w:cs="Arial"/>
          <w:spacing w:val="-3"/>
        </w:rPr>
        <w:t>Automated</w:t>
      </w:r>
      <w:proofErr w:type="spellEnd"/>
      <w:r w:rsidR="008A3E1E" w:rsidRPr="008C4B06">
        <w:rPr>
          <w:rFonts w:cs="Arial"/>
          <w:spacing w:val="-3"/>
        </w:rPr>
        <w:t xml:space="preserve"> Real </w:t>
      </w:r>
      <w:proofErr w:type="spellStart"/>
      <w:r w:rsidR="008A3E1E" w:rsidRPr="008C4B06">
        <w:rPr>
          <w:rFonts w:cs="Arial"/>
          <w:spacing w:val="-3"/>
        </w:rPr>
        <w:t>time</w:t>
      </w:r>
      <w:proofErr w:type="spellEnd"/>
      <w:r w:rsidR="008A3E1E" w:rsidRPr="008C4B06">
        <w:rPr>
          <w:rFonts w:cs="Arial"/>
          <w:spacing w:val="-3"/>
        </w:rPr>
        <w:t xml:space="preserve"> Gross settlement Express </w:t>
      </w:r>
      <w:proofErr w:type="spellStart"/>
      <w:r w:rsidR="008A3E1E" w:rsidRPr="008C4B06">
        <w:rPr>
          <w:rFonts w:cs="Arial"/>
          <w:spacing w:val="-3"/>
        </w:rPr>
        <w:t>Transfert</w:t>
      </w:r>
      <w:proofErr w:type="spellEnd"/>
      <w:r w:rsidR="008A3E1E" w:rsidRPr="008C4B06">
        <w:rPr>
          <w:rFonts w:cs="Arial"/>
          <w:spacing w:val="-3"/>
        </w:rPr>
        <w:t xml:space="preserve">) je evropský systém po brutto zúčtování v reálném čase, který propojuje Evropskou centrální banku s národními centrálními bankami členských států Hospodářské a měnové unie, a to prostřednictvím jejich národních systémů pro brutto zúčtování v reálném čase (Real Time Gross Settlement, dále jen „RTGS“). Propojovací systém TARGET je otevřen všechny dny v týdnu kromě sobot a nedělí, kdy jsou otevřeny a do systému připojeny alespoň dva RTGS. Zavřený je vždy 1. ledna, na Velký pátek, Velikonoční pondělí a </w:t>
      </w:r>
      <w:smartTag w:uri="urn:schemas-microsoft-com:office:smarttags" w:element="metricconverter">
        <w:smartTagPr>
          <w:attr w:name="ProductID" w:val="25. a"/>
        </w:smartTagPr>
        <w:r w:rsidR="008A3E1E" w:rsidRPr="008C4B06">
          <w:rPr>
            <w:rFonts w:cs="Arial"/>
            <w:spacing w:val="-3"/>
          </w:rPr>
          <w:t>25. a</w:t>
        </w:r>
      </w:smartTag>
      <w:r w:rsidR="008A3E1E" w:rsidRPr="008C4B06">
        <w:rPr>
          <w:rFonts w:cs="Arial"/>
          <w:spacing w:val="-3"/>
        </w:rPr>
        <w:t xml:space="preserve"> 26. prosince</w:t>
      </w:r>
      <w:r w:rsidR="008A3E1E" w:rsidRPr="008C4B06">
        <w:rPr>
          <w:rFonts w:cs="Arial"/>
        </w:rPr>
        <w:t>.</w:t>
      </w:r>
    </w:p>
    <w:p w:rsidR="008A3E1E" w:rsidRPr="008C4B06" w:rsidRDefault="008A3E1E" w:rsidP="00510103">
      <w:pPr>
        <w:spacing w:after="120"/>
        <w:ind w:left="425"/>
        <w:rPr>
          <w:rFonts w:cs="Arial"/>
        </w:rPr>
      </w:pPr>
      <w:r w:rsidRPr="008C4B06">
        <w:rPr>
          <w:rFonts w:cs="Arial"/>
        </w:rPr>
        <w:t>Banka použije pro stanovení úrokové sazby tuto sazbu platnou dva (2) Pracovní dny TARGET před datem Čerpání nebo Aktualizací úrokové sazby nebo dnem platnosti nové úrokové sazby při z</w:t>
      </w:r>
      <w:r w:rsidRPr="008C4B06">
        <w:rPr>
          <w:rFonts w:cs="Arial"/>
          <w:bCs/>
        </w:rPr>
        <w:t>měně způsobu úročení</w:t>
      </w:r>
      <w:r w:rsidRPr="008C4B06">
        <w:rPr>
          <w:rFonts w:cs="Arial"/>
        </w:rPr>
        <w:t>, nebude-li mezi Klientem a Bankou při sjednávání Strukturované sazby dohodnuto jinak.</w:t>
      </w:r>
    </w:p>
    <w:p w:rsidR="008A3E1E" w:rsidRPr="008C4B06" w:rsidRDefault="008A3E1E" w:rsidP="00510103">
      <w:pPr>
        <w:spacing w:after="120"/>
        <w:ind w:left="425"/>
        <w:rPr>
          <w:rFonts w:cs="Arial"/>
        </w:rPr>
      </w:pPr>
      <w:r w:rsidRPr="008C4B06">
        <w:rPr>
          <w:rFonts w:cs="Arial"/>
        </w:rPr>
        <w:t>„</w:t>
      </w:r>
      <w:r w:rsidRPr="008C4B06">
        <w:rPr>
          <w:rFonts w:cs="Arial"/>
          <w:b/>
        </w:rPr>
        <w:t>Pohyblivá sazba</w:t>
      </w:r>
      <w:r w:rsidRPr="008C4B06">
        <w:rPr>
          <w:rFonts w:cs="Arial"/>
        </w:rPr>
        <w:t>“ je součtem dvou položek, a to (i) Referenční sazby pro příslušnou měnu a (</w:t>
      </w:r>
      <w:proofErr w:type="spellStart"/>
      <w:r w:rsidRPr="008C4B06">
        <w:rPr>
          <w:rFonts w:cs="Arial"/>
        </w:rPr>
        <w:t>ii</w:t>
      </w:r>
      <w:proofErr w:type="spellEnd"/>
      <w:r w:rsidRPr="008C4B06">
        <w:rPr>
          <w:rFonts w:cs="Arial"/>
        </w:rPr>
        <w:t>) pevné odchylky.</w:t>
      </w:r>
    </w:p>
    <w:p w:rsidR="008A3E1E" w:rsidRPr="008C4B06" w:rsidRDefault="008A3E1E" w:rsidP="00510103">
      <w:pPr>
        <w:spacing w:after="120"/>
        <w:ind w:left="425"/>
        <w:rPr>
          <w:rFonts w:cs="Arial"/>
        </w:rPr>
      </w:pPr>
      <w:r w:rsidRPr="008C4B06">
        <w:rPr>
          <w:rFonts w:cs="Arial"/>
          <w:spacing w:val="-3"/>
          <w:szCs w:val="18"/>
        </w:rPr>
        <w:t>„</w:t>
      </w:r>
      <w:r w:rsidRPr="008C4B06">
        <w:rPr>
          <w:rFonts w:cs="Arial"/>
          <w:b/>
          <w:spacing w:val="-3"/>
          <w:szCs w:val="18"/>
        </w:rPr>
        <w:t>PRIBOR</w:t>
      </w:r>
      <w:r w:rsidRPr="008C4B06">
        <w:rPr>
          <w:rFonts w:cs="Arial"/>
          <w:spacing w:val="-3"/>
          <w:szCs w:val="18"/>
        </w:rPr>
        <w:t xml:space="preserve">“ </w:t>
      </w:r>
      <w:r w:rsidR="00D12C5E" w:rsidRPr="00D12C5E">
        <w:rPr>
          <w:rFonts w:cs="Arial"/>
        </w:rPr>
        <w:t xml:space="preserve">(Prague Interbank </w:t>
      </w:r>
      <w:proofErr w:type="spellStart"/>
      <w:r w:rsidR="00D12C5E" w:rsidRPr="00D12C5E">
        <w:rPr>
          <w:rFonts w:cs="Arial"/>
        </w:rPr>
        <w:t>Offered</w:t>
      </w:r>
      <w:proofErr w:type="spellEnd"/>
      <w:r w:rsidR="00D12C5E" w:rsidRPr="00D12C5E">
        <w:rPr>
          <w:rFonts w:cs="Arial"/>
        </w:rPr>
        <w:t xml:space="preserve"> </w:t>
      </w:r>
      <w:proofErr w:type="spellStart"/>
      <w:r w:rsidR="00D12C5E" w:rsidRPr="00D12C5E">
        <w:rPr>
          <w:rFonts w:cs="Arial"/>
        </w:rPr>
        <w:t>Rate</w:t>
      </w:r>
      <w:proofErr w:type="spellEnd"/>
      <w:r w:rsidR="00D12C5E" w:rsidRPr="00D12C5E">
        <w:rPr>
          <w:rFonts w:cs="Arial"/>
        </w:rPr>
        <w:t xml:space="preserve">) je referenční hodnota úrokových sazeb na trhu mezibankovních depozit v korunách českých (Kč), kterou počítá (fixuje) kalkulační agent pro Czech </w:t>
      </w:r>
      <w:proofErr w:type="spellStart"/>
      <w:r w:rsidR="00D12C5E" w:rsidRPr="00D12C5E">
        <w:rPr>
          <w:rFonts w:cs="Arial"/>
        </w:rPr>
        <w:t>Forex</w:t>
      </w:r>
      <w:proofErr w:type="spellEnd"/>
      <w:r w:rsidR="00D12C5E" w:rsidRPr="00D12C5E">
        <w:rPr>
          <w:rFonts w:cs="Arial"/>
        </w:rPr>
        <w:t xml:space="preserve"> Club z kotací referenčních bank pro prodej depozit (</w:t>
      </w:r>
      <w:proofErr w:type="spellStart"/>
      <w:r w:rsidR="00D12C5E" w:rsidRPr="00D12C5E">
        <w:rPr>
          <w:rFonts w:cs="Arial"/>
        </w:rPr>
        <w:t>offer</w:t>
      </w:r>
      <w:proofErr w:type="spellEnd"/>
      <w:r w:rsidR="00D12C5E" w:rsidRPr="00D12C5E">
        <w:rPr>
          <w:rFonts w:cs="Arial"/>
        </w:rPr>
        <w:t>). Hodnota PRIBOR se počítá jako matematický aritmetický průměr zaokrouhlený na dvě desetinná místa pro splatnosti 1 den (O/N), 1 a 2 týdny, 1, 2, 3, 6 a 9 měsíců a 1 rok způsobem uvedeným v příslušných pravidlech České národní banky. Výpočet (</w:t>
      </w:r>
      <w:proofErr w:type="spellStart"/>
      <w:r w:rsidR="00D12C5E" w:rsidRPr="00D12C5E">
        <w:rPr>
          <w:rFonts w:cs="Arial"/>
        </w:rPr>
        <w:t>fixing</w:t>
      </w:r>
      <w:proofErr w:type="spellEnd"/>
      <w:r w:rsidR="00D12C5E" w:rsidRPr="00D12C5E">
        <w:rPr>
          <w:rFonts w:cs="Arial"/>
        </w:rPr>
        <w:t xml:space="preserve">) hodnoty probíhá na bázi roku o 360 dnech (metoda </w:t>
      </w:r>
      <w:proofErr w:type="spellStart"/>
      <w:r w:rsidR="00D12C5E" w:rsidRPr="00D12C5E">
        <w:rPr>
          <w:rFonts w:cs="Arial"/>
        </w:rPr>
        <w:t>Actual</w:t>
      </w:r>
      <w:proofErr w:type="spellEnd"/>
      <w:r w:rsidR="00D12C5E" w:rsidRPr="00D12C5E">
        <w:rPr>
          <w:rFonts w:cs="Arial"/>
        </w:rPr>
        <w:t xml:space="preserve">/360) v 11:00 hodin pražského času a je zveřejněn bezprostředně po ukončení výpočtu na stránce PRBO informačního systému Reuters (nebo stránce, která ji nahradí). Kalendářem používaným pro určení data fixace PRIBOR je kalendář platný v České republice (pražský čas). Banka použije pro stanovení úrokové sazby tuto sazbu platnou dva (2) Pracovní dny před datem Čerpání </w:t>
      </w:r>
      <w:r w:rsidR="00D12C5E" w:rsidRPr="00D12C5E">
        <w:rPr>
          <w:rFonts w:cs="Arial"/>
        </w:rPr>
        <w:lastRenderedPageBreak/>
        <w:t>nebo Aktualizací úrokové sazby nebo dnem platnosti nové úrokové sazby při změně způsobu úročení, nebude-li mezi Klientem a Bankou při sjednávání Strukturované sazby dohodnuto jinak. Pokud je sazba nižší než nula (0), za PRIBOR se bude považovat sazba ve výši nula (0)</w:t>
      </w:r>
      <w:r w:rsidRPr="008C4B06">
        <w:rPr>
          <w:rFonts w:cs="Arial"/>
        </w:rPr>
        <w:t>.</w:t>
      </w:r>
    </w:p>
    <w:p w:rsidR="008A3E1E" w:rsidRPr="008C4B06" w:rsidRDefault="008A3E1E" w:rsidP="00510103">
      <w:pPr>
        <w:spacing w:after="120"/>
        <w:ind w:left="425"/>
        <w:rPr>
          <w:rFonts w:cs="Arial"/>
          <w:bCs/>
        </w:rPr>
      </w:pPr>
      <w:r w:rsidRPr="008C4B06">
        <w:rPr>
          <w:rFonts w:cs="Arial"/>
          <w:bCs/>
        </w:rPr>
        <w:t>„</w:t>
      </w:r>
      <w:r w:rsidRPr="008C4B06">
        <w:rPr>
          <w:rFonts w:cs="Arial"/>
          <w:b/>
          <w:bCs/>
        </w:rPr>
        <w:t>Referenční sazba</w:t>
      </w:r>
      <w:r w:rsidRPr="008C4B06">
        <w:rPr>
          <w:rFonts w:cs="Arial"/>
          <w:bCs/>
        </w:rPr>
        <w:t>“</w:t>
      </w:r>
      <w:r w:rsidRPr="008C4B06">
        <w:rPr>
          <w:rFonts w:cs="Arial"/>
          <w:b/>
          <w:bCs/>
        </w:rPr>
        <w:t xml:space="preserve"> </w:t>
      </w:r>
      <w:r w:rsidRPr="008C4B06">
        <w:rPr>
          <w:rFonts w:cs="Arial"/>
          <w:bCs/>
        </w:rPr>
        <w:t>je příslušný IBOR odpovídající Měně úvěru.</w:t>
      </w:r>
    </w:p>
    <w:p w:rsidR="008A3E1E" w:rsidRPr="008C4B06" w:rsidRDefault="008A3E1E" w:rsidP="00510103">
      <w:pPr>
        <w:spacing w:after="120"/>
        <w:ind w:left="425"/>
        <w:rPr>
          <w:rFonts w:cs="Arial"/>
          <w:bCs/>
        </w:rPr>
      </w:pPr>
      <w:r w:rsidRPr="008C4B06">
        <w:rPr>
          <w:rFonts w:cs="Arial"/>
          <w:bCs/>
        </w:rPr>
        <w:t>„</w:t>
      </w:r>
      <w:r w:rsidRPr="008C4B06">
        <w:rPr>
          <w:rFonts w:cs="Arial"/>
          <w:b/>
          <w:bCs/>
        </w:rPr>
        <w:t>Úrokovací období</w:t>
      </w:r>
      <w:r w:rsidRPr="008C4B06">
        <w:rPr>
          <w:rFonts w:cs="Arial"/>
          <w:bCs/>
        </w:rPr>
        <w:t>“</w:t>
      </w:r>
      <w:r w:rsidRPr="008C4B06">
        <w:rPr>
          <w:rFonts w:cs="Arial"/>
          <w:b/>
          <w:bCs/>
        </w:rPr>
        <w:t xml:space="preserve"> </w:t>
      </w:r>
      <w:r w:rsidRPr="008C4B06">
        <w:rPr>
          <w:rFonts w:cs="Arial"/>
          <w:bCs/>
        </w:rPr>
        <w:t>je časový úsek, po který se uplatňuje dohodnutá nebo stanovená</w:t>
      </w:r>
      <w:r w:rsidRPr="008C4B06" w:rsidDel="00026F57">
        <w:rPr>
          <w:rFonts w:cs="Arial"/>
          <w:bCs/>
        </w:rPr>
        <w:t xml:space="preserve"> </w:t>
      </w:r>
      <w:r w:rsidRPr="008C4B06">
        <w:rPr>
          <w:rFonts w:cs="Arial"/>
          <w:bCs/>
        </w:rPr>
        <w:t xml:space="preserve">úroková sazba. Pokud je úroková sazba stanovena na základě Referenční sazby, odpovídá délka Úrokovacího období časovému charakteru Typu Referenční sazby. Pokud je úroková sazba dohodnuta jinak než na základě Referenční sazby, Úrokovací období je stanoveno jako časový úsek, po který se tato sazba uplatňuje. </w:t>
      </w:r>
      <w:r w:rsidR="00754137" w:rsidRPr="008C4B06">
        <w:rPr>
          <w:rFonts w:cs="Arial"/>
          <w:bCs/>
        </w:rPr>
        <w:t xml:space="preserve">Úrokovací období po dobu uplatňování Strukturované sazby je vždy časový úsek, po který se tato sazba uplatňuje. </w:t>
      </w:r>
      <w:r w:rsidRPr="008C4B06">
        <w:rPr>
          <w:rFonts w:cs="Arial"/>
          <w:bCs/>
        </w:rPr>
        <w:t>Jednotlivá Úrokovací období úvěru navazují vždy bez časového přerušení plynule na sebe a úroková sazba stanovená pro příslušné Úrokovací období se aplikuje pro každý kalendářní den Úrokovacího období s výjimkou posledního.</w:t>
      </w:r>
    </w:p>
    <w:p w:rsidR="008A3E1E" w:rsidRPr="008C4B06" w:rsidRDefault="008A3E1E" w:rsidP="00510103">
      <w:pPr>
        <w:pStyle w:val="Nadpis2"/>
        <w:rPr>
          <w:rFonts w:cs="Arial"/>
        </w:rPr>
      </w:pPr>
      <w:r w:rsidRPr="008C4B06">
        <w:rPr>
          <w:rFonts w:cs="Arial"/>
        </w:rPr>
        <w:t xml:space="preserve">Klient a Banka se dohodli, že článek XVIII. (Vymezení pojmů) Úvěrových podmínek se doplňuje o nové pojmy následujícím způsobem: </w:t>
      </w:r>
    </w:p>
    <w:p w:rsidR="008A3E1E" w:rsidRPr="008C4B06" w:rsidRDefault="008A3E1E" w:rsidP="00510103">
      <w:pPr>
        <w:spacing w:after="120"/>
        <w:ind w:left="426"/>
        <w:rPr>
          <w:rFonts w:cs="Arial"/>
        </w:rPr>
      </w:pPr>
      <w:r w:rsidRPr="008C4B06">
        <w:rPr>
          <w:rFonts w:cs="Arial"/>
          <w:szCs w:val="18"/>
        </w:rPr>
        <w:t>„</w:t>
      </w:r>
      <w:r w:rsidRPr="008C4B06">
        <w:rPr>
          <w:rFonts w:cs="Arial"/>
          <w:b/>
          <w:szCs w:val="18"/>
        </w:rPr>
        <w:t>Období</w:t>
      </w:r>
      <w:r w:rsidRPr="008C4B06">
        <w:rPr>
          <w:rFonts w:cs="Arial"/>
          <w:b/>
        </w:rPr>
        <w:t xml:space="preserve"> splácení</w:t>
      </w:r>
      <w:r w:rsidRPr="008C4B06">
        <w:rPr>
          <w:rFonts w:cs="Arial"/>
        </w:rPr>
        <w:t>“ je doba stanovená ve Smlouvě, po kterou je Úvěr splácen.</w:t>
      </w:r>
    </w:p>
    <w:p w:rsidR="008A3E1E" w:rsidRPr="008C4B06" w:rsidRDefault="008A3E1E" w:rsidP="00510103">
      <w:pPr>
        <w:spacing w:after="120"/>
        <w:ind w:left="426"/>
        <w:rPr>
          <w:rFonts w:cs="Arial"/>
        </w:rPr>
      </w:pPr>
      <w:r w:rsidRPr="008C4B06">
        <w:rPr>
          <w:rFonts w:cs="Arial"/>
          <w:szCs w:val="18"/>
        </w:rPr>
        <w:t>„</w:t>
      </w:r>
      <w:r w:rsidRPr="008C4B06">
        <w:rPr>
          <w:rFonts w:cs="Arial"/>
          <w:b/>
          <w:szCs w:val="18"/>
        </w:rPr>
        <w:t>Splátkový plán</w:t>
      </w:r>
      <w:r w:rsidRPr="008C4B06">
        <w:rPr>
          <w:rFonts w:cs="Arial"/>
        </w:rPr>
        <w:t>“ je mezi Bankou a Klientem sjednaný časový plán splácení jistiny a úroků z Úvěru, uvedený v Příloze č. 1.</w:t>
      </w:r>
    </w:p>
    <w:p w:rsidR="008A3E1E" w:rsidRPr="008C4B06" w:rsidRDefault="008A3E1E" w:rsidP="00510103">
      <w:pPr>
        <w:spacing w:after="120"/>
        <w:ind w:left="426"/>
        <w:rPr>
          <w:rFonts w:cs="Arial"/>
          <w:bCs/>
        </w:rPr>
      </w:pPr>
      <w:r w:rsidRPr="008C4B06">
        <w:rPr>
          <w:rFonts w:cs="Arial"/>
          <w:bCs/>
        </w:rPr>
        <w:t>„</w:t>
      </w:r>
      <w:r w:rsidRPr="008C4B06">
        <w:rPr>
          <w:rFonts w:cs="Arial"/>
          <w:b/>
          <w:bCs/>
        </w:rPr>
        <w:t>Strukturovaná sazba</w:t>
      </w:r>
      <w:r w:rsidRPr="008C4B06">
        <w:rPr>
          <w:rFonts w:cs="Arial"/>
          <w:bCs/>
        </w:rPr>
        <w:t xml:space="preserve">“ </w:t>
      </w:r>
      <w:r w:rsidR="00754137" w:rsidRPr="008C4B06">
        <w:rPr>
          <w:rFonts w:cs="Arial"/>
          <w:bCs/>
        </w:rPr>
        <w:t>je součtem dvou položek, a to (i) Typu Strukturované sazby a (</w:t>
      </w:r>
      <w:proofErr w:type="spellStart"/>
      <w:r w:rsidR="00754137" w:rsidRPr="008C4B06">
        <w:rPr>
          <w:rFonts w:cs="Arial"/>
          <w:bCs/>
        </w:rPr>
        <w:t>ii</w:t>
      </w:r>
      <w:proofErr w:type="spellEnd"/>
      <w:r w:rsidR="00754137" w:rsidRPr="008C4B06">
        <w:rPr>
          <w:rFonts w:cs="Arial"/>
          <w:bCs/>
        </w:rPr>
        <w:t>) pevné odchylky sjednané v</w:t>
      </w:r>
      <w:r w:rsidR="00277B1A" w:rsidRPr="008C4B06">
        <w:rPr>
          <w:rFonts w:cs="Arial"/>
          <w:bCs/>
        </w:rPr>
        <w:t> </w:t>
      </w:r>
      <w:r w:rsidR="00754137" w:rsidRPr="008C4B06">
        <w:rPr>
          <w:rFonts w:cs="Arial"/>
          <w:bCs/>
        </w:rPr>
        <w:t>odstavci</w:t>
      </w:r>
      <w:r w:rsidR="00277B1A" w:rsidRPr="008C4B06">
        <w:rPr>
          <w:rFonts w:cs="Arial"/>
          <w:bCs/>
        </w:rPr>
        <w:t xml:space="preserve"> </w:t>
      </w:r>
      <w:r w:rsidR="00277B1A" w:rsidRPr="008C4B06">
        <w:rPr>
          <w:rFonts w:cs="Arial"/>
          <w:bCs/>
        </w:rPr>
        <w:fldChar w:fldCharType="begin"/>
      </w:r>
      <w:r w:rsidR="00277B1A" w:rsidRPr="008C4B06">
        <w:rPr>
          <w:rFonts w:cs="Arial"/>
          <w:bCs/>
        </w:rPr>
        <w:instrText xml:space="preserve"> REF _Ref300576431 \r \h </w:instrText>
      </w:r>
      <w:r w:rsidR="008C4B06">
        <w:rPr>
          <w:rFonts w:cs="Arial"/>
          <w:bCs/>
        </w:rPr>
        <w:instrText xml:space="preserve"> \* MERGEFORMAT </w:instrText>
      </w:r>
      <w:r w:rsidR="00277B1A" w:rsidRPr="008C4B06">
        <w:rPr>
          <w:rFonts w:cs="Arial"/>
          <w:bCs/>
        </w:rPr>
      </w:r>
      <w:r w:rsidR="00277B1A" w:rsidRPr="008C4B06">
        <w:rPr>
          <w:rFonts w:cs="Arial"/>
          <w:bCs/>
        </w:rPr>
        <w:fldChar w:fldCharType="separate"/>
      </w:r>
      <w:r w:rsidR="00D31EE0">
        <w:rPr>
          <w:rFonts w:cs="Arial"/>
          <w:bCs/>
        </w:rPr>
        <w:t>2.4</w:t>
      </w:r>
      <w:r w:rsidR="00277B1A" w:rsidRPr="008C4B06">
        <w:rPr>
          <w:rFonts w:cs="Arial"/>
          <w:bCs/>
        </w:rPr>
        <w:fldChar w:fldCharType="end"/>
      </w:r>
      <w:r w:rsidRPr="008C4B06">
        <w:rPr>
          <w:rFonts w:cs="Arial"/>
          <w:bCs/>
        </w:rPr>
        <w:t>.</w:t>
      </w:r>
    </w:p>
    <w:p w:rsidR="008A3E1E" w:rsidRPr="008C4B06" w:rsidRDefault="008A3E1E" w:rsidP="00510103">
      <w:pPr>
        <w:spacing w:after="120"/>
        <w:ind w:left="426"/>
        <w:rPr>
          <w:rFonts w:cs="Arial"/>
        </w:rPr>
      </w:pPr>
      <w:r w:rsidRPr="008C4B06">
        <w:rPr>
          <w:rFonts w:cs="Arial"/>
        </w:rPr>
        <w:t>„</w:t>
      </w:r>
      <w:r w:rsidRPr="008C4B06">
        <w:rPr>
          <w:rFonts w:cs="Arial"/>
          <w:b/>
        </w:rPr>
        <w:t>Typ Referenční sazby</w:t>
      </w:r>
      <w:r w:rsidRPr="008C4B06">
        <w:rPr>
          <w:rFonts w:cs="Arial"/>
        </w:rPr>
        <w:t xml:space="preserve">“ je </w:t>
      </w:r>
      <w:r w:rsidRPr="008C4B06">
        <w:rPr>
          <w:rFonts w:cs="Arial"/>
          <w:bCs/>
        </w:rPr>
        <w:t>1M IBOR, 3M IBOR, 6M IBOR nebo 12M IBOR odpovídající Měně úvěru.</w:t>
      </w:r>
    </w:p>
    <w:p w:rsidR="00754137" w:rsidRPr="008C4B06" w:rsidRDefault="00754137" w:rsidP="00510103">
      <w:pPr>
        <w:spacing w:after="120"/>
        <w:ind w:left="426"/>
        <w:rPr>
          <w:rFonts w:cs="Arial"/>
        </w:rPr>
      </w:pPr>
      <w:r w:rsidRPr="008C4B06">
        <w:rPr>
          <w:rFonts w:cs="Arial"/>
        </w:rPr>
        <w:t>„</w:t>
      </w:r>
      <w:r w:rsidRPr="008C4B06">
        <w:rPr>
          <w:rFonts w:cs="Arial"/>
          <w:b/>
        </w:rPr>
        <w:t>Typ Strukturované sazby</w:t>
      </w:r>
      <w:r w:rsidRPr="008C4B06">
        <w:rPr>
          <w:rFonts w:cs="Arial"/>
        </w:rPr>
        <w:t xml:space="preserve">“ je </w:t>
      </w:r>
      <w:r w:rsidRPr="008C4B06">
        <w:rPr>
          <w:rFonts w:cs="Arial"/>
          <w:bCs/>
        </w:rPr>
        <w:t>některý z typů uvedených v Příloze č. 2.</w:t>
      </w:r>
    </w:p>
    <w:p w:rsidR="00481539" w:rsidRPr="008C4B06" w:rsidRDefault="008A3E1E" w:rsidP="00510103">
      <w:pPr>
        <w:pStyle w:val="Nadpis1"/>
        <w:rPr>
          <w:rFonts w:cs="Arial"/>
        </w:rPr>
      </w:pPr>
      <w:r w:rsidRPr="008C4B06">
        <w:rPr>
          <w:rFonts w:cs="Arial"/>
        </w:rPr>
        <w:t>Přílohy</w:t>
      </w:r>
    </w:p>
    <w:p w:rsidR="008A3E1E" w:rsidRPr="008C4B06" w:rsidRDefault="008A3E1E" w:rsidP="00510103">
      <w:pPr>
        <w:pStyle w:val="Nadpis2"/>
        <w:rPr>
          <w:rFonts w:cs="Arial"/>
          <w:bCs/>
        </w:rPr>
      </w:pPr>
      <w:r w:rsidRPr="008C4B06">
        <w:rPr>
          <w:rFonts w:cs="Arial"/>
        </w:rPr>
        <w:t>Přílohy této Smlouvy tvoří</w:t>
      </w:r>
      <w:r w:rsidRPr="008C4B06">
        <w:rPr>
          <w:rFonts w:cs="Arial"/>
          <w:bCs/>
        </w:rPr>
        <w:t>:</w:t>
      </w:r>
    </w:p>
    <w:p w:rsidR="008A3E1E" w:rsidRPr="008C4B06" w:rsidRDefault="008A3E1E" w:rsidP="00510103">
      <w:pPr>
        <w:numPr>
          <w:ilvl w:val="0"/>
          <w:numId w:val="16"/>
        </w:numPr>
        <w:tabs>
          <w:tab w:val="clear" w:pos="1211"/>
        </w:tabs>
        <w:ind w:left="709" w:hanging="283"/>
        <w:rPr>
          <w:rFonts w:cs="Arial"/>
          <w:bCs/>
        </w:rPr>
      </w:pPr>
      <w:r w:rsidRPr="008C4B06">
        <w:rPr>
          <w:rFonts w:cs="Arial"/>
          <w:bCs/>
        </w:rPr>
        <w:t>Splátkový plán</w:t>
      </w:r>
    </w:p>
    <w:p w:rsidR="008A3E1E" w:rsidRPr="008C4B06" w:rsidRDefault="008A3E1E" w:rsidP="00510103">
      <w:pPr>
        <w:numPr>
          <w:ilvl w:val="0"/>
          <w:numId w:val="16"/>
        </w:numPr>
        <w:tabs>
          <w:tab w:val="clear" w:pos="1211"/>
          <w:tab w:val="left" w:pos="-4111"/>
        </w:tabs>
        <w:ind w:left="709" w:hanging="283"/>
        <w:rPr>
          <w:rFonts w:cs="Arial"/>
        </w:rPr>
      </w:pPr>
      <w:bookmarkStart w:id="32" w:name="_Ref287447832"/>
      <w:r w:rsidRPr="008C4B06">
        <w:rPr>
          <w:rFonts w:cs="Arial"/>
        </w:rPr>
        <w:t>Definice typů Strukturovaných sazeb</w:t>
      </w:r>
      <w:bookmarkEnd w:id="32"/>
    </w:p>
    <w:p w:rsidR="008A3E1E" w:rsidRPr="008C4B06" w:rsidRDefault="008A3E1E" w:rsidP="00510103">
      <w:pPr>
        <w:numPr>
          <w:ilvl w:val="0"/>
          <w:numId w:val="16"/>
        </w:numPr>
        <w:tabs>
          <w:tab w:val="clear" w:pos="1211"/>
          <w:tab w:val="left" w:pos="-4111"/>
        </w:tabs>
        <w:ind w:left="709" w:hanging="283"/>
        <w:rPr>
          <w:rFonts w:cs="Arial"/>
        </w:rPr>
      </w:pPr>
      <w:bookmarkStart w:id="33" w:name="_Ref287447814"/>
      <w:r w:rsidRPr="008C4B06">
        <w:rPr>
          <w:rFonts w:cs="Arial"/>
        </w:rPr>
        <w:t>Kontaktní údaje Banky</w:t>
      </w:r>
      <w:bookmarkEnd w:id="33"/>
    </w:p>
    <w:p w:rsidR="008A3E1E" w:rsidRPr="008C4B06" w:rsidRDefault="008A3E1E" w:rsidP="00510103">
      <w:pPr>
        <w:numPr>
          <w:ilvl w:val="0"/>
          <w:numId w:val="16"/>
        </w:numPr>
        <w:tabs>
          <w:tab w:val="clear" w:pos="1211"/>
          <w:tab w:val="left" w:pos="-4111"/>
        </w:tabs>
        <w:ind w:left="709" w:hanging="283"/>
        <w:rPr>
          <w:rFonts w:cs="Arial"/>
        </w:rPr>
      </w:pPr>
      <w:bookmarkStart w:id="34" w:name="_Ref287435088"/>
      <w:r w:rsidRPr="008C4B06">
        <w:rPr>
          <w:rFonts w:cs="Arial"/>
        </w:rPr>
        <w:t>Kontaktní údaje Klienta</w:t>
      </w:r>
      <w:bookmarkEnd w:id="34"/>
    </w:p>
    <w:p w:rsidR="008A3E1E" w:rsidRPr="008C4B06" w:rsidRDefault="008A3E1E" w:rsidP="00510103">
      <w:pPr>
        <w:numPr>
          <w:ilvl w:val="0"/>
          <w:numId w:val="16"/>
        </w:numPr>
        <w:tabs>
          <w:tab w:val="clear" w:pos="1211"/>
          <w:tab w:val="left" w:pos="-4111"/>
        </w:tabs>
        <w:ind w:left="709" w:hanging="283"/>
        <w:rPr>
          <w:rFonts w:cs="Arial"/>
        </w:rPr>
      </w:pPr>
      <w:bookmarkStart w:id="35" w:name="_Ref287435089"/>
      <w:r w:rsidRPr="008C4B06">
        <w:rPr>
          <w:rFonts w:cs="Arial"/>
        </w:rPr>
        <w:t>Podpisový vzor Klienta</w:t>
      </w:r>
      <w:bookmarkEnd w:id="35"/>
    </w:p>
    <w:p w:rsidR="00BD19ED" w:rsidRDefault="008A3E1E" w:rsidP="00B45B5E">
      <w:pPr>
        <w:numPr>
          <w:ilvl w:val="0"/>
          <w:numId w:val="16"/>
        </w:numPr>
        <w:tabs>
          <w:tab w:val="clear" w:pos="1211"/>
          <w:tab w:val="left" w:pos="-4111"/>
        </w:tabs>
        <w:ind w:left="709" w:hanging="284"/>
        <w:rPr>
          <w:rFonts w:cs="Arial"/>
        </w:rPr>
      </w:pPr>
      <w:r w:rsidRPr="008C4B06">
        <w:rPr>
          <w:rFonts w:cs="Arial"/>
        </w:rPr>
        <w:t>Žádost o čerpání úvěru</w:t>
      </w:r>
    </w:p>
    <w:p w:rsidR="00BD19ED" w:rsidRPr="00BD19ED" w:rsidRDefault="00BD19ED" w:rsidP="00B45B5E">
      <w:pPr>
        <w:numPr>
          <w:ilvl w:val="0"/>
          <w:numId w:val="16"/>
        </w:numPr>
        <w:tabs>
          <w:tab w:val="clear" w:pos="1211"/>
          <w:tab w:val="left" w:pos="-4111"/>
        </w:tabs>
        <w:spacing w:after="120"/>
        <w:ind w:left="709" w:hanging="284"/>
        <w:rPr>
          <w:rFonts w:cs="Arial"/>
        </w:rPr>
      </w:pPr>
      <w:r w:rsidRPr="00BD19ED">
        <w:rPr>
          <w:rFonts w:cs="Arial"/>
        </w:rPr>
        <w:t xml:space="preserve">Prohlášení klienta o splnění podmínek programu </w:t>
      </w:r>
      <w:proofErr w:type="spellStart"/>
      <w:r w:rsidRPr="00BD19ED">
        <w:rPr>
          <w:rFonts w:cs="Arial"/>
        </w:rPr>
        <w:t>EuroEnergie</w:t>
      </w:r>
      <w:proofErr w:type="spellEnd"/>
    </w:p>
    <w:p w:rsidR="008A3E1E" w:rsidRPr="008C4B06" w:rsidRDefault="008A3E1E" w:rsidP="00510103">
      <w:pPr>
        <w:pStyle w:val="Nadpis2"/>
        <w:rPr>
          <w:rFonts w:cs="Arial"/>
        </w:rPr>
      </w:pPr>
      <w:r w:rsidRPr="008C4B06">
        <w:rPr>
          <w:rFonts w:cs="Arial"/>
        </w:rPr>
        <w:t>Klient je povinen aktualizovat údaje v Příloze č. 4 a 5. Změna Přílohy č. 4 je vůči Bance účinná doručením aktualizované Přílohy č. 4 Bance. Změna Přílohy č. 5 je vůči Bance účinná první Obchodní den následující po Obchodním dni, kdy jí byl Klientem doručen nový podpisový vzor formou doporučeného dopisu, osobně nebo kurýrem. V případě, že Klient nepodepisuje podpisový vzor před zaměstnancem Banky a podpisový vzor tak neobsahuje ověřovací doložku zaměstnance Banky, musí být podpis Klienta na podpisovém vzoru úředně ověřen.</w:t>
      </w:r>
    </w:p>
    <w:p w:rsidR="008A3E1E" w:rsidRPr="008C4B06" w:rsidRDefault="008A3E1E" w:rsidP="00510103">
      <w:pPr>
        <w:pStyle w:val="Nadpis2"/>
        <w:rPr>
          <w:rFonts w:cs="Arial"/>
        </w:rPr>
      </w:pPr>
      <w:r w:rsidRPr="008C4B06">
        <w:rPr>
          <w:rFonts w:cs="Arial"/>
        </w:rPr>
        <w:t>Banka je oprávněna změnit údaje v Příloze č. 2 a 3. Změna Přílohy č. 2 nebo 3 nabývá vůči Klientovi účinnosti třetím nebo později Bankou stanoveným Obchodním dnem po dni doručení informace o změně přílohy. Banka je dále oprávněna změnit vzor Žádosti o čerpání úvěru uvedený v Příloze č. 6, a to tak, že Klientovi předloží novou Žádost o čerpání.</w:t>
      </w:r>
    </w:p>
    <w:p w:rsidR="00481539" w:rsidRPr="008C4B06" w:rsidRDefault="008A3E1E" w:rsidP="00510103">
      <w:pPr>
        <w:pStyle w:val="Nadpis1"/>
        <w:rPr>
          <w:rFonts w:cs="Arial"/>
        </w:rPr>
      </w:pPr>
      <w:r w:rsidRPr="008C4B06">
        <w:rPr>
          <w:rFonts w:cs="Arial"/>
        </w:rPr>
        <w:t>Závěrečná ustanovení</w:t>
      </w:r>
    </w:p>
    <w:p w:rsidR="008A3E1E" w:rsidRPr="008C4B06" w:rsidRDefault="008A3E1E" w:rsidP="00510103">
      <w:pPr>
        <w:pStyle w:val="Nadpis2"/>
        <w:rPr>
          <w:rFonts w:cs="Arial"/>
        </w:rPr>
      </w:pPr>
      <w:r w:rsidRPr="008C4B06">
        <w:rPr>
          <w:rFonts w:cs="Arial"/>
        </w:rPr>
        <w:t>Je-li Klientů více, jsou z této Smlouvy zavázáni společně a nerozdílně.</w:t>
      </w:r>
    </w:p>
    <w:p w:rsidR="008A3E1E" w:rsidRPr="008C4B06" w:rsidRDefault="006F5903" w:rsidP="00510103">
      <w:pPr>
        <w:pStyle w:val="Nadpis2"/>
        <w:rPr>
          <w:rFonts w:cs="Arial"/>
        </w:rPr>
      </w:pPr>
      <w:r w:rsidRPr="008C4B06">
        <w:rPr>
          <w:rFonts w:cs="Arial"/>
        </w:rPr>
        <w:t>Klient a Banka se dohodli, že písemnosti týkající se této Smlouvy (dále jen „</w:t>
      </w:r>
      <w:r w:rsidRPr="008C4B06">
        <w:rPr>
          <w:rFonts w:cs="Arial"/>
          <w:b/>
        </w:rPr>
        <w:t>Zásilky</w:t>
      </w:r>
      <w:r w:rsidRPr="008C4B06">
        <w:rPr>
          <w:rFonts w:cs="Arial"/>
        </w:rPr>
        <w:t>“) budou doručovány na</w:t>
      </w:r>
      <w:r>
        <w:rPr>
          <w:rFonts w:cs="Arial"/>
        </w:rPr>
        <w:t xml:space="preserve"> </w:t>
      </w:r>
      <w:r w:rsidRPr="008C4B06">
        <w:rPr>
          <w:rFonts w:cs="Arial"/>
        </w:rPr>
        <w:t xml:space="preserve">adresy uvedené v Příloze č. </w:t>
      </w:r>
      <w:smartTag w:uri="urn:schemas-microsoft-com:office:smarttags" w:element="metricconverter">
        <w:smartTagPr>
          <w:attr w:name="ProductID" w:val="3 a"/>
        </w:smartTagPr>
        <w:r w:rsidRPr="008C4B06">
          <w:rPr>
            <w:rFonts w:cs="Arial"/>
          </w:rPr>
          <w:t>3 a</w:t>
        </w:r>
      </w:smartTag>
      <w:r w:rsidRPr="008C4B06">
        <w:rPr>
          <w:rFonts w:cs="Arial"/>
        </w:rPr>
        <w:t xml:space="preserve"> 4</w:t>
      </w:r>
      <w:r w:rsidR="008A3E1E" w:rsidRPr="008C4B06">
        <w:rPr>
          <w:rFonts w:cs="Arial"/>
        </w:rPr>
        <w:t>.</w:t>
      </w:r>
    </w:p>
    <w:p w:rsidR="008A3E1E" w:rsidRPr="008C4B06" w:rsidRDefault="008A3E1E" w:rsidP="00510103">
      <w:pPr>
        <w:pStyle w:val="Nadpis2"/>
        <w:rPr>
          <w:rFonts w:cs="Arial"/>
        </w:rPr>
      </w:pPr>
      <w:r w:rsidRPr="008C4B06">
        <w:rPr>
          <w:rFonts w:cs="Arial"/>
        </w:rPr>
        <w:t xml:space="preserve">Smlouva je vyhotovena v </w:t>
      </w:r>
      <w:r w:rsidR="007C7D9C">
        <w:rPr>
          <w:rFonts w:cs="Arial"/>
          <w:b/>
        </w:rPr>
        <w:t>2</w:t>
      </w:r>
      <w:r w:rsidRPr="008C4B06">
        <w:rPr>
          <w:rFonts w:cs="Arial"/>
        </w:rPr>
        <w:t xml:space="preserve"> vyhotoveních, z nichž každý z účastníků obdrží jedno vyhotovení.</w:t>
      </w:r>
    </w:p>
    <w:p w:rsidR="006F5903" w:rsidRPr="008C4B06" w:rsidRDefault="006F5903" w:rsidP="00510103">
      <w:pPr>
        <w:pStyle w:val="Nadpis2"/>
        <w:rPr>
          <w:rFonts w:cs="Arial"/>
        </w:rPr>
      </w:pPr>
      <w:bookmarkStart w:id="36" w:name="ucin_1"/>
      <w:r w:rsidRPr="008C4B06">
        <w:rPr>
          <w:rFonts w:cs="Arial"/>
        </w:rPr>
        <w:t xml:space="preserve">Smlouva nabývá platnosti </w:t>
      </w:r>
      <w:r w:rsidR="00910D6F" w:rsidRPr="008C4B06">
        <w:rPr>
          <w:rFonts w:cs="Arial"/>
        </w:rPr>
        <w:t>dnem uzavření</w:t>
      </w:r>
      <w:r w:rsidR="00910D6F">
        <w:rPr>
          <w:rFonts w:cs="Arial"/>
        </w:rPr>
        <w:t xml:space="preserve"> </w:t>
      </w:r>
      <w:r w:rsidRPr="008C4B06">
        <w:rPr>
          <w:rFonts w:cs="Arial"/>
        </w:rPr>
        <w:t>a účinnosti</w:t>
      </w:r>
      <w:r w:rsidR="00910D6F">
        <w:rPr>
          <w:rFonts w:cs="Arial"/>
        </w:rPr>
        <w:t xml:space="preserve"> </w:t>
      </w:r>
      <w:r w:rsidR="00BD19ED">
        <w:t xml:space="preserve">dnem uveřejnění prostřednictvím registru smluv způsobem dle zákona č. 340/2015 Sb., o registru smluv, </w:t>
      </w:r>
      <w:r w:rsidR="00BD19ED" w:rsidRPr="00624393">
        <w:t>ve znění pozdějších předpisů</w:t>
      </w:r>
      <w:r w:rsidR="00BD19ED">
        <w:t xml:space="preserve">, nejdříve však </w:t>
      </w:r>
      <w:r w:rsidR="00910D6F">
        <w:rPr>
          <w:rFonts w:cs="Arial"/>
        </w:rPr>
        <w:t xml:space="preserve">dne </w:t>
      </w:r>
      <w:r w:rsidR="00910D6F" w:rsidRPr="00C75E0A">
        <w:rPr>
          <w:rFonts w:cs="Arial"/>
          <w:b/>
        </w:rPr>
        <w:t>01.08.2017</w:t>
      </w:r>
      <w:r w:rsidRPr="008C4B06">
        <w:rPr>
          <w:rFonts w:cs="Arial"/>
        </w:rPr>
        <w:t>.</w:t>
      </w:r>
    </w:p>
    <w:p w:rsidR="00277B1A" w:rsidRPr="008C4B06" w:rsidRDefault="00277B1A" w:rsidP="00277B1A">
      <w:pPr>
        <w:pStyle w:val="Napoveda"/>
        <w:rPr>
          <w:rFonts w:cs="Arial"/>
        </w:rPr>
      </w:pPr>
    </w:p>
    <w:tbl>
      <w:tblPr>
        <w:tblW w:w="0" w:type="auto"/>
        <w:tblLayout w:type="fixed"/>
        <w:tblCellMar>
          <w:left w:w="70" w:type="dxa"/>
          <w:right w:w="70" w:type="dxa"/>
        </w:tblCellMar>
        <w:tblLook w:val="0000" w:firstRow="0" w:lastRow="0" w:firstColumn="0" w:lastColumn="0" w:noHBand="0" w:noVBand="0"/>
      </w:tblPr>
      <w:tblGrid>
        <w:gridCol w:w="4820"/>
        <w:gridCol w:w="4820"/>
      </w:tblGrid>
      <w:tr w:rsidR="007C7D9C" w:rsidTr="00F60B34">
        <w:trPr>
          <w:cantSplit/>
        </w:trPr>
        <w:tc>
          <w:tcPr>
            <w:tcW w:w="4820" w:type="dxa"/>
          </w:tcPr>
          <w:p w:rsidR="007C7D9C" w:rsidRDefault="007C7D9C" w:rsidP="00F60B34">
            <w:pPr>
              <w:rPr>
                <w:sz w:val="8"/>
              </w:rPr>
            </w:pPr>
            <w:bookmarkStart w:id="37" w:name="podpisy_1"/>
            <w:bookmarkEnd w:id="36"/>
            <w:bookmarkEnd w:id="37"/>
          </w:p>
          <w:p w:rsidR="007C7D9C" w:rsidRDefault="007C7D9C" w:rsidP="00F60B34">
            <w:r>
              <w:t>V</w:t>
            </w:r>
            <w:r w:rsidR="00926EF0">
              <w:t>e</w:t>
            </w:r>
            <w:r>
              <w:t xml:space="preserve"> </w:t>
            </w:r>
            <w:bookmarkStart w:id="38" w:name="v"/>
            <w:bookmarkEnd w:id="38"/>
            <w:r>
              <w:t>Veselí nad Moravou dne</w:t>
            </w:r>
            <w:r w:rsidR="00C75E0A">
              <w:t xml:space="preserve"> 26.07.2017</w:t>
            </w:r>
          </w:p>
          <w:p w:rsidR="007C7D9C" w:rsidRDefault="007C7D9C" w:rsidP="00F60B34"/>
          <w:p w:rsidR="007C7D9C" w:rsidRDefault="007C7D9C" w:rsidP="00F60B34">
            <w:pPr>
              <w:rPr>
                <w:b/>
              </w:rPr>
            </w:pPr>
            <w:bookmarkStart w:id="39" w:name="zaklienta"/>
            <w:bookmarkEnd w:id="39"/>
            <w:r>
              <w:rPr>
                <w:b/>
              </w:rPr>
              <w:t>VESBYT s.r.o.</w:t>
            </w:r>
          </w:p>
          <w:p w:rsidR="007C7D9C" w:rsidRDefault="007C7D9C" w:rsidP="00F60B34">
            <w:pPr>
              <w:rPr>
                <w:b/>
              </w:rPr>
            </w:pPr>
            <w:bookmarkStart w:id="40" w:name="obchjm"/>
            <w:bookmarkEnd w:id="40"/>
          </w:p>
          <w:p w:rsidR="007C7D9C" w:rsidRDefault="007C7D9C" w:rsidP="00F60B34"/>
          <w:p w:rsidR="007C7D9C" w:rsidRDefault="007C7D9C" w:rsidP="00F60B34">
            <w:pPr>
              <w:tabs>
                <w:tab w:val="left" w:pos="4536"/>
                <w:tab w:val="left" w:pos="4962"/>
                <w:tab w:val="left" w:pos="8931"/>
              </w:tabs>
            </w:pPr>
            <w:r>
              <w:tab/>
            </w:r>
          </w:p>
          <w:p w:rsidR="007C7D9C" w:rsidRDefault="007C7D9C" w:rsidP="00F60B34">
            <w:pPr>
              <w:tabs>
                <w:tab w:val="left" w:leader="underscore" w:pos="4536"/>
                <w:tab w:val="left" w:pos="4962"/>
                <w:tab w:val="left" w:leader="dot" w:pos="8931"/>
              </w:tabs>
              <w:rPr>
                <w:position w:val="10"/>
                <w:sz w:val="12"/>
              </w:rPr>
            </w:pPr>
            <w:r>
              <w:rPr>
                <w:position w:val="10"/>
                <w:sz w:val="12"/>
              </w:rPr>
              <w:tab/>
            </w:r>
          </w:p>
          <w:p w:rsidR="007C7D9C" w:rsidRPr="00A726DD" w:rsidRDefault="007C7D9C" w:rsidP="00F60B34">
            <w:pPr>
              <w:spacing w:after="120"/>
              <w:rPr>
                <w:sz w:val="16"/>
                <w:szCs w:val="16"/>
              </w:rPr>
            </w:pPr>
            <w:r w:rsidRPr="00A726DD">
              <w:rPr>
                <w:sz w:val="16"/>
                <w:szCs w:val="16"/>
              </w:rPr>
              <w:t>vlastnoruční podpis</w:t>
            </w:r>
          </w:p>
          <w:p w:rsidR="007C7D9C" w:rsidRPr="005B636C" w:rsidRDefault="007C7D9C" w:rsidP="00F60B34">
            <w:pPr>
              <w:tabs>
                <w:tab w:val="left" w:pos="851"/>
              </w:tabs>
              <w:rPr>
                <w:b/>
                <w:szCs w:val="18"/>
              </w:rPr>
            </w:pPr>
            <w:r w:rsidRPr="005B636C">
              <w:rPr>
                <w:b/>
                <w:szCs w:val="18"/>
              </w:rPr>
              <w:t>Jméno:</w:t>
            </w:r>
            <w:r w:rsidRPr="005B636C">
              <w:rPr>
                <w:b/>
                <w:szCs w:val="18"/>
              </w:rPr>
              <w:tab/>
            </w:r>
            <w:bookmarkStart w:id="41" w:name="zmocos"/>
            <w:bookmarkEnd w:id="41"/>
            <w:r>
              <w:rPr>
                <w:b/>
                <w:szCs w:val="18"/>
              </w:rPr>
              <w:t>Mgr. Evelína Jochová</w:t>
            </w:r>
          </w:p>
          <w:p w:rsidR="007C7D9C" w:rsidRPr="005B636C" w:rsidRDefault="007C7D9C" w:rsidP="00F60B34">
            <w:pPr>
              <w:ind w:left="851" w:hanging="851"/>
              <w:rPr>
                <w:b/>
                <w:szCs w:val="18"/>
              </w:rPr>
            </w:pPr>
            <w:r w:rsidRPr="005B636C">
              <w:rPr>
                <w:b/>
                <w:szCs w:val="18"/>
              </w:rPr>
              <w:t>Funkce:</w:t>
            </w:r>
            <w:r w:rsidRPr="005B636C">
              <w:rPr>
                <w:b/>
                <w:szCs w:val="18"/>
              </w:rPr>
              <w:tab/>
            </w:r>
            <w:bookmarkStart w:id="42" w:name="funkcezo"/>
            <w:bookmarkEnd w:id="42"/>
            <w:r>
              <w:rPr>
                <w:b/>
                <w:szCs w:val="18"/>
              </w:rPr>
              <w:t>jednatel</w:t>
            </w:r>
          </w:p>
          <w:p w:rsidR="007C7D9C" w:rsidRDefault="007C7D9C" w:rsidP="00F60B34">
            <w:pPr>
              <w:tabs>
                <w:tab w:val="left" w:pos="1276"/>
              </w:tabs>
            </w:pPr>
          </w:p>
        </w:tc>
        <w:tc>
          <w:tcPr>
            <w:tcW w:w="4820" w:type="dxa"/>
          </w:tcPr>
          <w:p w:rsidR="007C7D9C" w:rsidRDefault="007C7D9C" w:rsidP="00F60B34">
            <w:pPr>
              <w:ind w:right="22"/>
              <w:rPr>
                <w:sz w:val="8"/>
              </w:rPr>
            </w:pPr>
            <w:bookmarkStart w:id="43" w:name="banka_podpis"/>
          </w:p>
          <w:p w:rsidR="007C7D9C" w:rsidRDefault="007C7D9C" w:rsidP="00F60B34">
            <w:pPr>
              <w:ind w:right="22"/>
            </w:pPr>
            <w:r>
              <w:t>V</w:t>
            </w:r>
            <w:r w:rsidR="00926EF0">
              <w:t>e</w:t>
            </w:r>
            <w:r>
              <w:t xml:space="preserve"> </w:t>
            </w:r>
            <w:bookmarkStart w:id="44" w:name="v1"/>
            <w:bookmarkEnd w:id="44"/>
            <w:r>
              <w:t xml:space="preserve">Veselí nad Moravou dne </w:t>
            </w:r>
            <w:bookmarkStart w:id="45" w:name="dne1"/>
            <w:bookmarkEnd w:id="45"/>
            <w:r w:rsidR="00C75E0A">
              <w:t>26.07.2017</w:t>
            </w:r>
          </w:p>
          <w:p w:rsidR="007C7D9C" w:rsidRDefault="007C7D9C" w:rsidP="00F60B34">
            <w:pPr>
              <w:ind w:right="22"/>
              <w:rPr>
                <w:b/>
              </w:rPr>
            </w:pPr>
          </w:p>
          <w:p w:rsidR="007C7D9C" w:rsidRDefault="007C7D9C" w:rsidP="00F60B34">
            <w:pPr>
              <w:ind w:right="22"/>
              <w:rPr>
                <w:b/>
              </w:rPr>
            </w:pPr>
            <w:r>
              <w:rPr>
                <w:b/>
              </w:rPr>
              <w:t>Komerční banka, a.s.</w:t>
            </w:r>
          </w:p>
          <w:p w:rsidR="007C7D9C" w:rsidRDefault="007C7D9C" w:rsidP="00F60B34">
            <w:pPr>
              <w:ind w:right="22"/>
            </w:pPr>
          </w:p>
          <w:p w:rsidR="007C7D9C" w:rsidRDefault="007C7D9C" w:rsidP="00F60B34">
            <w:pPr>
              <w:ind w:right="22"/>
            </w:pPr>
          </w:p>
          <w:p w:rsidR="007C7D9C" w:rsidRDefault="007C7D9C" w:rsidP="00F60B34">
            <w:pPr>
              <w:tabs>
                <w:tab w:val="left" w:pos="4536"/>
                <w:tab w:val="left" w:pos="4962"/>
                <w:tab w:val="left" w:pos="8931"/>
              </w:tabs>
            </w:pPr>
            <w:r>
              <w:tab/>
            </w:r>
          </w:p>
          <w:p w:rsidR="007C7D9C" w:rsidRDefault="007C7D9C" w:rsidP="00F60B34">
            <w:pPr>
              <w:tabs>
                <w:tab w:val="left" w:leader="underscore" w:pos="4536"/>
                <w:tab w:val="left" w:pos="4962"/>
                <w:tab w:val="left" w:leader="dot" w:pos="8931"/>
              </w:tabs>
              <w:rPr>
                <w:position w:val="10"/>
                <w:sz w:val="12"/>
              </w:rPr>
            </w:pPr>
            <w:r>
              <w:rPr>
                <w:position w:val="10"/>
                <w:sz w:val="12"/>
              </w:rPr>
              <w:tab/>
            </w:r>
          </w:p>
          <w:p w:rsidR="007C7D9C" w:rsidRPr="00F51A46" w:rsidRDefault="007C7D9C" w:rsidP="00F60B34">
            <w:pPr>
              <w:spacing w:after="120"/>
              <w:rPr>
                <w:sz w:val="16"/>
                <w:szCs w:val="16"/>
              </w:rPr>
            </w:pPr>
            <w:r w:rsidRPr="00F51A46">
              <w:rPr>
                <w:sz w:val="16"/>
                <w:szCs w:val="16"/>
              </w:rPr>
              <w:t>vlastnoruční podpis</w:t>
            </w:r>
          </w:p>
          <w:p w:rsidR="007C7D9C" w:rsidRPr="00463675" w:rsidRDefault="007C7D9C" w:rsidP="00F60B34">
            <w:pPr>
              <w:tabs>
                <w:tab w:val="left" w:pos="851"/>
              </w:tabs>
              <w:rPr>
                <w:b/>
                <w:szCs w:val="18"/>
              </w:rPr>
            </w:pPr>
            <w:r w:rsidRPr="00463675">
              <w:rPr>
                <w:b/>
                <w:szCs w:val="18"/>
              </w:rPr>
              <w:t>Jméno:</w:t>
            </w:r>
            <w:r w:rsidRPr="00463675">
              <w:rPr>
                <w:b/>
                <w:szCs w:val="18"/>
              </w:rPr>
              <w:tab/>
            </w:r>
            <w:bookmarkStart w:id="46" w:name="prac1"/>
            <w:bookmarkEnd w:id="46"/>
          </w:p>
          <w:p w:rsidR="007C7D9C" w:rsidRPr="00463675" w:rsidRDefault="007C7D9C" w:rsidP="00F60B34">
            <w:pPr>
              <w:ind w:left="851" w:hanging="851"/>
              <w:rPr>
                <w:b/>
                <w:szCs w:val="18"/>
              </w:rPr>
            </w:pPr>
            <w:r w:rsidRPr="00463675">
              <w:rPr>
                <w:b/>
                <w:szCs w:val="18"/>
              </w:rPr>
              <w:t>Funkce:</w:t>
            </w:r>
            <w:r w:rsidRPr="00463675">
              <w:rPr>
                <w:b/>
                <w:szCs w:val="18"/>
              </w:rPr>
              <w:tab/>
            </w:r>
            <w:bookmarkStart w:id="47" w:name="funkb1"/>
            <w:bookmarkEnd w:id="47"/>
            <w:r>
              <w:rPr>
                <w:b/>
                <w:szCs w:val="18"/>
              </w:rPr>
              <w:t>ředitel pobočky</w:t>
            </w:r>
          </w:p>
          <w:p w:rsidR="007C7D9C" w:rsidRPr="00E4620A" w:rsidRDefault="007C7D9C" w:rsidP="00F60B34">
            <w:pPr>
              <w:rPr>
                <w:szCs w:val="18"/>
              </w:rPr>
            </w:pPr>
            <w:bookmarkStart w:id="48" w:name="vlozpod"/>
            <w:bookmarkStart w:id="49" w:name="vloz"/>
            <w:bookmarkEnd w:id="48"/>
            <w:bookmarkEnd w:id="49"/>
          </w:p>
          <w:bookmarkEnd w:id="43"/>
          <w:p w:rsidR="007C7D9C" w:rsidRDefault="007C7D9C" w:rsidP="00F60B34">
            <w:pPr>
              <w:rPr>
                <w:sz w:val="8"/>
              </w:rPr>
            </w:pPr>
          </w:p>
        </w:tc>
        <w:bookmarkStart w:id="50" w:name="banka"/>
        <w:bookmarkEnd w:id="50"/>
      </w:tr>
      <w:tr w:rsidR="007C7D9C" w:rsidRPr="00AE217D" w:rsidTr="00F60B34">
        <w:trPr>
          <w:cantSplit/>
        </w:trPr>
        <w:tc>
          <w:tcPr>
            <w:tcW w:w="4820" w:type="dxa"/>
          </w:tcPr>
          <w:p w:rsidR="007C7D9C" w:rsidRPr="000018B8" w:rsidRDefault="007C7D9C" w:rsidP="00F60B34">
            <w:pPr>
              <w:rPr>
                <w:highlight w:val="yellow"/>
              </w:rPr>
            </w:pPr>
            <w:bookmarkStart w:id="51" w:name="p1"/>
            <w:bookmarkStart w:id="52" w:name="p2"/>
            <w:bookmarkEnd w:id="51"/>
            <w:bookmarkEnd w:id="52"/>
          </w:p>
          <w:p w:rsidR="007C7D9C" w:rsidRPr="008C3AB6" w:rsidRDefault="007C7D9C" w:rsidP="00F60B34">
            <w:pPr>
              <w:spacing w:after="120"/>
            </w:pPr>
            <w:bookmarkStart w:id="53" w:name="odstrandol"/>
            <w:bookmarkStart w:id="54" w:name="udaje1"/>
            <w:bookmarkEnd w:id="53"/>
            <w:r w:rsidRPr="008C3AB6">
              <w:t>Osobní údaje podepisující osoby</w:t>
            </w:r>
            <w:bookmarkStart w:id="55" w:name="udaje"/>
            <w:bookmarkEnd w:id="54"/>
            <w:bookmarkEnd w:id="55"/>
            <w:r w:rsidRPr="008C3AB6">
              <w:t>:</w:t>
            </w:r>
          </w:p>
          <w:p w:rsidR="007C7D9C" w:rsidRPr="008C3AB6" w:rsidRDefault="007C7D9C" w:rsidP="00F60B34">
            <w:pPr>
              <w:tabs>
                <w:tab w:val="left" w:leader="underscore" w:pos="4536"/>
                <w:tab w:val="left" w:pos="4962"/>
                <w:tab w:val="left" w:leader="dot" w:pos="8931"/>
              </w:tabs>
              <w:rPr>
                <w:position w:val="10"/>
                <w:sz w:val="12"/>
              </w:rPr>
            </w:pPr>
            <w:bookmarkStart w:id="56" w:name="jmenox"/>
            <w:bookmarkEnd w:id="56"/>
            <w:r w:rsidRPr="008C3AB6">
              <w:rPr>
                <w:position w:val="10"/>
                <w:sz w:val="12"/>
              </w:rPr>
              <w:tab/>
            </w:r>
          </w:p>
          <w:p w:rsidR="007C7D9C" w:rsidRPr="008C3AB6" w:rsidRDefault="007C7D9C" w:rsidP="00F60B34">
            <w:pPr>
              <w:spacing w:after="120"/>
              <w:rPr>
                <w:sz w:val="16"/>
                <w:szCs w:val="16"/>
              </w:rPr>
            </w:pPr>
            <w:bookmarkStart w:id="57" w:name="jmeno1"/>
            <w:r w:rsidRPr="008C3AB6">
              <w:rPr>
                <w:sz w:val="16"/>
                <w:szCs w:val="16"/>
              </w:rPr>
              <w:t>titul, jméno, příjmení</w:t>
            </w:r>
            <w:bookmarkStart w:id="58" w:name="jmeno"/>
            <w:bookmarkEnd w:id="57"/>
            <w:bookmarkEnd w:id="58"/>
          </w:p>
          <w:p w:rsidR="007C7D9C" w:rsidRPr="008C3AB6" w:rsidRDefault="007C7D9C" w:rsidP="00F60B34">
            <w:pPr>
              <w:tabs>
                <w:tab w:val="left" w:leader="underscore" w:pos="4536"/>
                <w:tab w:val="left" w:pos="4962"/>
                <w:tab w:val="left" w:leader="dot" w:pos="8931"/>
              </w:tabs>
              <w:rPr>
                <w:position w:val="10"/>
                <w:sz w:val="12"/>
              </w:rPr>
            </w:pPr>
            <w:bookmarkStart w:id="59" w:name="rcx"/>
            <w:bookmarkEnd w:id="59"/>
            <w:r w:rsidRPr="008C3AB6">
              <w:rPr>
                <w:position w:val="10"/>
                <w:sz w:val="12"/>
              </w:rPr>
              <w:tab/>
            </w:r>
          </w:p>
          <w:p w:rsidR="007C7D9C" w:rsidRPr="008C3AB6" w:rsidRDefault="007C7D9C" w:rsidP="00F60B34">
            <w:pPr>
              <w:spacing w:after="120"/>
              <w:rPr>
                <w:sz w:val="16"/>
                <w:szCs w:val="16"/>
              </w:rPr>
            </w:pPr>
            <w:bookmarkStart w:id="60" w:name="rc1"/>
            <w:r w:rsidRPr="008C3AB6">
              <w:rPr>
                <w:sz w:val="16"/>
                <w:szCs w:val="16"/>
              </w:rPr>
              <w:t>rodné číslo (datum narození, není-li rodné číslo)</w:t>
            </w:r>
            <w:bookmarkStart w:id="61" w:name="rc"/>
            <w:bookmarkEnd w:id="60"/>
            <w:bookmarkEnd w:id="61"/>
          </w:p>
          <w:p w:rsidR="007C7D9C" w:rsidRPr="008C3AB6" w:rsidRDefault="007C7D9C" w:rsidP="00F60B34">
            <w:pPr>
              <w:tabs>
                <w:tab w:val="left" w:leader="underscore" w:pos="4536"/>
                <w:tab w:val="left" w:pos="4962"/>
                <w:tab w:val="left" w:leader="dot" w:pos="8931"/>
              </w:tabs>
              <w:rPr>
                <w:position w:val="10"/>
                <w:sz w:val="12"/>
              </w:rPr>
            </w:pPr>
            <w:bookmarkStart w:id="62" w:name="pobyt1x"/>
            <w:bookmarkEnd w:id="62"/>
            <w:r w:rsidRPr="008C3AB6">
              <w:rPr>
                <w:position w:val="10"/>
                <w:sz w:val="12"/>
              </w:rPr>
              <w:tab/>
            </w:r>
          </w:p>
          <w:p w:rsidR="007C7D9C" w:rsidRPr="008C3AB6" w:rsidRDefault="007C7D9C" w:rsidP="00F60B34">
            <w:pPr>
              <w:spacing w:after="120"/>
              <w:rPr>
                <w:sz w:val="16"/>
                <w:szCs w:val="16"/>
              </w:rPr>
            </w:pPr>
            <w:bookmarkStart w:id="63" w:name="pobyt1"/>
            <w:r w:rsidRPr="008C3AB6">
              <w:rPr>
                <w:sz w:val="16"/>
                <w:szCs w:val="16"/>
              </w:rPr>
              <w:t>adresa (trvalý pobyt</w:t>
            </w:r>
            <w:bookmarkStart w:id="64" w:name="pobyt"/>
            <w:bookmarkEnd w:id="63"/>
            <w:bookmarkEnd w:id="64"/>
            <w:r w:rsidRPr="008C3AB6">
              <w:rPr>
                <w:sz w:val="16"/>
                <w:szCs w:val="16"/>
              </w:rPr>
              <w:t>)</w:t>
            </w:r>
          </w:p>
          <w:p w:rsidR="007C7D9C" w:rsidRPr="008C3AB6" w:rsidRDefault="007C7D9C" w:rsidP="00F60B34">
            <w:pPr>
              <w:tabs>
                <w:tab w:val="left" w:leader="underscore" w:pos="4536"/>
                <w:tab w:val="left" w:pos="4962"/>
                <w:tab w:val="left" w:leader="dot" w:pos="8931"/>
              </w:tabs>
              <w:rPr>
                <w:position w:val="10"/>
                <w:sz w:val="12"/>
              </w:rPr>
            </w:pPr>
            <w:bookmarkStart w:id="65" w:name="ptotx"/>
            <w:bookmarkEnd w:id="65"/>
            <w:r w:rsidRPr="008C3AB6">
              <w:rPr>
                <w:position w:val="10"/>
                <w:sz w:val="12"/>
              </w:rPr>
              <w:tab/>
            </w:r>
          </w:p>
          <w:p w:rsidR="007C7D9C" w:rsidRPr="000018B8" w:rsidRDefault="007C7D9C" w:rsidP="00F60B34">
            <w:pPr>
              <w:spacing w:after="120"/>
              <w:rPr>
                <w:sz w:val="16"/>
                <w:szCs w:val="16"/>
                <w:highlight w:val="yellow"/>
              </w:rPr>
            </w:pPr>
            <w:bookmarkStart w:id="66" w:name="pt1"/>
            <w:r w:rsidRPr="008C3AB6">
              <w:rPr>
                <w:sz w:val="16"/>
                <w:szCs w:val="16"/>
              </w:rPr>
              <w:t>druh, číslo a doba platnosti průkazu totožnosti a orgán/stát, který jej vydal</w:t>
            </w:r>
            <w:bookmarkStart w:id="67" w:name="pt"/>
            <w:bookmarkEnd w:id="66"/>
            <w:bookmarkEnd w:id="67"/>
          </w:p>
        </w:tc>
        <w:tc>
          <w:tcPr>
            <w:tcW w:w="4820" w:type="dxa"/>
          </w:tcPr>
          <w:p w:rsidR="007C7D9C" w:rsidRDefault="007C7D9C" w:rsidP="00F60B34">
            <w:pPr>
              <w:ind w:right="22"/>
            </w:pPr>
          </w:p>
          <w:p w:rsidR="007C7D9C" w:rsidRDefault="007C7D9C" w:rsidP="00F60B34">
            <w:pPr>
              <w:ind w:right="22"/>
            </w:pPr>
          </w:p>
          <w:p w:rsidR="007C7D9C" w:rsidRDefault="007C7D9C" w:rsidP="00F60B34">
            <w:pPr>
              <w:tabs>
                <w:tab w:val="left" w:pos="4536"/>
                <w:tab w:val="left" w:pos="4962"/>
                <w:tab w:val="left" w:pos="8931"/>
              </w:tabs>
            </w:pPr>
            <w:r>
              <w:tab/>
            </w:r>
          </w:p>
          <w:p w:rsidR="007C7D9C" w:rsidRDefault="007C7D9C" w:rsidP="00F60B34">
            <w:pPr>
              <w:tabs>
                <w:tab w:val="left" w:leader="underscore" w:pos="4536"/>
                <w:tab w:val="left" w:pos="4962"/>
                <w:tab w:val="left" w:leader="dot" w:pos="8931"/>
              </w:tabs>
              <w:rPr>
                <w:position w:val="10"/>
                <w:sz w:val="12"/>
              </w:rPr>
            </w:pPr>
            <w:r>
              <w:rPr>
                <w:position w:val="10"/>
                <w:sz w:val="12"/>
              </w:rPr>
              <w:tab/>
            </w:r>
          </w:p>
          <w:p w:rsidR="007C7D9C" w:rsidRPr="00F51A46" w:rsidRDefault="007C7D9C" w:rsidP="00F60B34">
            <w:pPr>
              <w:spacing w:after="120"/>
              <w:rPr>
                <w:sz w:val="16"/>
                <w:szCs w:val="16"/>
              </w:rPr>
            </w:pPr>
            <w:r w:rsidRPr="00F51A46">
              <w:rPr>
                <w:sz w:val="16"/>
                <w:szCs w:val="16"/>
              </w:rPr>
              <w:t>vlastnoruční podpis</w:t>
            </w:r>
          </w:p>
          <w:p w:rsidR="007C7D9C" w:rsidRPr="00463675" w:rsidRDefault="007C7D9C" w:rsidP="00F60B34">
            <w:pPr>
              <w:tabs>
                <w:tab w:val="left" w:pos="851"/>
              </w:tabs>
              <w:rPr>
                <w:b/>
                <w:szCs w:val="18"/>
              </w:rPr>
            </w:pPr>
            <w:r w:rsidRPr="00463675">
              <w:rPr>
                <w:b/>
                <w:szCs w:val="18"/>
              </w:rPr>
              <w:t>Jméno:</w:t>
            </w:r>
            <w:r w:rsidRPr="00463675">
              <w:rPr>
                <w:b/>
                <w:szCs w:val="18"/>
              </w:rPr>
              <w:tab/>
            </w:r>
          </w:p>
          <w:p w:rsidR="007C7D9C" w:rsidRPr="00463675" w:rsidRDefault="007C7D9C" w:rsidP="00F60B34">
            <w:pPr>
              <w:ind w:left="851" w:hanging="851"/>
              <w:rPr>
                <w:b/>
                <w:szCs w:val="18"/>
              </w:rPr>
            </w:pPr>
            <w:r w:rsidRPr="00463675">
              <w:rPr>
                <w:b/>
                <w:szCs w:val="18"/>
              </w:rPr>
              <w:t>Funkce:</w:t>
            </w:r>
            <w:r w:rsidRPr="00463675">
              <w:rPr>
                <w:b/>
                <w:szCs w:val="18"/>
              </w:rPr>
              <w:tab/>
            </w:r>
            <w:r>
              <w:rPr>
                <w:b/>
                <w:szCs w:val="18"/>
              </w:rPr>
              <w:t>bankovní poradce</w:t>
            </w:r>
          </w:p>
          <w:p w:rsidR="007C7D9C" w:rsidRPr="00E4620A" w:rsidRDefault="007C7D9C" w:rsidP="00F60B34">
            <w:pPr>
              <w:rPr>
                <w:szCs w:val="18"/>
              </w:rPr>
            </w:pPr>
          </w:p>
          <w:p w:rsidR="007C7D9C" w:rsidRDefault="007C7D9C" w:rsidP="00F60B34"/>
        </w:tc>
      </w:tr>
      <w:tr w:rsidR="007C7D9C" w:rsidTr="00F60B34">
        <w:trPr>
          <w:cantSplit/>
        </w:trPr>
        <w:tc>
          <w:tcPr>
            <w:tcW w:w="4820" w:type="dxa"/>
          </w:tcPr>
          <w:p w:rsidR="007C7D9C" w:rsidRDefault="007C7D9C" w:rsidP="00F60B34">
            <w:pPr>
              <w:ind w:left="284" w:hanging="284"/>
            </w:pPr>
            <w:bookmarkStart w:id="68" w:name="odstran"/>
            <w:bookmarkEnd w:id="68"/>
          </w:p>
          <w:p w:rsidR="007C7D9C" w:rsidRDefault="007C7D9C" w:rsidP="00F60B34">
            <w:pPr>
              <w:spacing w:after="120"/>
              <w:ind w:left="284" w:hanging="284"/>
            </w:pPr>
            <w:r>
              <w:t xml:space="preserve">Osobní údaje zkontroloval(a) dne </w:t>
            </w:r>
            <w:bookmarkStart w:id="69" w:name="kontden"/>
            <w:bookmarkEnd w:id="69"/>
          </w:p>
          <w:p w:rsidR="007C7D9C" w:rsidRPr="00087192" w:rsidRDefault="007C7D9C" w:rsidP="00F60B34">
            <w:pPr>
              <w:rPr>
                <w:b/>
                <w:szCs w:val="18"/>
              </w:rPr>
            </w:pPr>
            <w:bookmarkStart w:id="70" w:name="prackon"/>
            <w:bookmarkEnd w:id="70"/>
          </w:p>
          <w:p w:rsidR="007C7D9C" w:rsidRPr="00087192" w:rsidRDefault="007C7D9C" w:rsidP="00F60B34">
            <w:pPr>
              <w:rPr>
                <w:b/>
                <w:szCs w:val="18"/>
              </w:rPr>
            </w:pPr>
            <w:bookmarkStart w:id="71" w:name="funkon"/>
            <w:bookmarkEnd w:id="71"/>
            <w:r>
              <w:rPr>
                <w:b/>
                <w:szCs w:val="18"/>
              </w:rPr>
              <w:t>bankovní poradce</w:t>
            </w:r>
          </w:p>
          <w:p w:rsidR="007C7D9C" w:rsidRPr="00087192" w:rsidRDefault="007C7D9C" w:rsidP="00F60B34">
            <w:pPr>
              <w:ind w:left="284" w:hanging="284"/>
              <w:rPr>
                <w:b/>
                <w:szCs w:val="18"/>
              </w:rPr>
            </w:pPr>
          </w:p>
          <w:p w:rsidR="007C7D9C" w:rsidRPr="00087192" w:rsidRDefault="007C7D9C" w:rsidP="00F60B34">
            <w:pPr>
              <w:ind w:left="284" w:hanging="284"/>
              <w:rPr>
                <w:b/>
                <w:szCs w:val="18"/>
              </w:rPr>
            </w:pPr>
          </w:p>
          <w:p w:rsidR="007C7D9C" w:rsidRDefault="007C7D9C" w:rsidP="00F60B34">
            <w:pPr>
              <w:tabs>
                <w:tab w:val="left" w:pos="4536"/>
              </w:tabs>
            </w:pPr>
            <w:r>
              <w:tab/>
            </w:r>
          </w:p>
          <w:p w:rsidR="007C7D9C" w:rsidRDefault="007C7D9C" w:rsidP="00F60B34">
            <w:pPr>
              <w:tabs>
                <w:tab w:val="left" w:leader="underscore" w:pos="4536"/>
                <w:tab w:val="left" w:pos="4962"/>
                <w:tab w:val="left" w:leader="dot" w:pos="8931"/>
              </w:tabs>
              <w:rPr>
                <w:position w:val="10"/>
                <w:sz w:val="12"/>
              </w:rPr>
            </w:pPr>
            <w:r>
              <w:rPr>
                <w:position w:val="10"/>
                <w:sz w:val="12"/>
              </w:rPr>
              <w:tab/>
            </w:r>
          </w:p>
          <w:p w:rsidR="007C7D9C" w:rsidRPr="007C6646" w:rsidRDefault="007C7D9C" w:rsidP="00F60B34">
            <w:pPr>
              <w:rPr>
                <w:sz w:val="16"/>
                <w:szCs w:val="16"/>
              </w:rPr>
            </w:pPr>
            <w:r w:rsidRPr="007C6646">
              <w:rPr>
                <w:sz w:val="16"/>
                <w:szCs w:val="16"/>
              </w:rPr>
              <w:t xml:space="preserve">vlastnoruční podpis zaměstnance </w:t>
            </w:r>
            <w:r>
              <w:rPr>
                <w:sz w:val="16"/>
                <w:szCs w:val="16"/>
              </w:rPr>
              <w:t>Komerční banky, a.s.</w:t>
            </w:r>
          </w:p>
          <w:p w:rsidR="007C7D9C" w:rsidRDefault="007C7D9C" w:rsidP="00F60B34">
            <w:pPr>
              <w:tabs>
                <w:tab w:val="center" w:pos="2269"/>
              </w:tabs>
            </w:pPr>
          </w:p>
        </w:tc>
        <w:tc>
          <w:tcPr>
            <w:tcW w:w="4820" w:type="dxa"/>
          </w:tcPr>
          <w:p w:rsidR="007C7D9C" w:rsidRDefault="007C7D9C" w:rsidP="00F60B34">
            <w:pPr>
              <w:ind w:left="284" w:hanging="284"/>
            </w:pPr>
          </w:p>
        </w:tc>
      </w:tr>
    </w:tbl>
    <w:p w:rsidR="007C7D9C" w:rsidRDefault="007C7D9C" w:rsidP="007C7D9C"/>
    <w:p w:rsidR="007C7D9C" w:rsidRPr="008C4B06" w:rsidRDefault="007C7D9C" w:rsidP="007C7D9C">
      <w:pPr>
        <w:rPr>
          <w:rFonts w:cs="Arial"/>
        </w:rPr>
      </w:pPr>
    </w:p>
    <w:p w:rsidR="0001716D" w:rsidRPr="008C4B06" w:rsidRDefault="0001716D" w:rsidP="00A547CD">
      <w:pPr>
        <w:rPr>
          <w:rFonts w:cs="Arial"/>
        </w:rPr>
      </w:pPr>
    </w:p>
    <w:p w:rsidR="0001716D" w:rsidRPr="008C4B06" w:rsidRDefault="0001716D" w:rsidP="0001716D">
      <w:pPr>
        <w:spacing w:after="120"/>
        <w:jc w:val="right"/>
        <w:rPr>
          <w:rFonts w:cs="Arial"/>
          <w:b/>
        </w:rPr>
      </w:pPr>
      <w:r w:rsidRPr="008C4B06">
        <w:rPr>
          <w:rFonts w:cs="Arial"/>
        </w:rPr>
        <w:br w:type="page"/>
      </w:r>
      <w:r w:rsidRPr="008C4B06">
        <w:rPr>
          <w:rFonts w:cs="Arial"/>
          <w:b/>
        </w:rPr>
        <w:lastRenderedPageBreak/>
        <w:t>PŘÍLOHA Č. 1</w:t>
      </w:r>
    </w:p>
    <w:tbl>
      <w:tblPr>
        <w:tblW w:w="0" w:type="auto"/>
        <w:tblLook w:val="01E0" w:firstRow="1" w:lastRow="1" w:firstColumn="1" w:lastColumn="1" w:noHBand="0" w:noVBand="0"/>
      </w:tblPr>
      <w:tblGrid>
        <w:gridCol w:w="4486"/>
        <w:gridCol w:w="4582"/>
      </w:tblGrid>
      <w:tr w:rsidR="0001716D" w:rsidRPr="00B06D8C" w:rsidTr="00B06D8C">
        <w:tc>
          <w:tcPr>
            <w:tcW w:w="4889" w:type="dxa"/>
            <w:tcBorders>
              <w:right w:val="single" w:sz="4" w:space="0" w:color="auto"/>
            </w:tcBorders>
          </w:tcPr>
          <w:p w:rsidR="0001716D" w:rsidRPr="00B06D8C" w:rsidRDefault="0001716D" w:rsidP="00B06D8C">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01716D" w:rsidRPr="00B06D8C" w:rsidRDefault="007C7D9C" w:rsidP="00B06D8C">
            <w:pPr>
              <w:spacing w:before="120" w:after="120"/>
              <w:jc w:val="right"/>
              <w:rPr>
                <w:rFonts w:cs="Arial"/>
                <w:b/>
              </w:rPr>
            </w:pPr>
            <w:bookmarkStart w:id="72" w:name="registr_2"/>
            <w:bookmarkEnd w:id="72"/>
            <w:r>
              <w:rPr>
                <w:rFonts w:cs="Arial"/>
                <w:b/>
              </w:rPr>
              <w:t>99017949454</w:t>
            </w:r>
          </w:p>
        </w:tc>
      </w:tr>
      <w:tr w:rsidR="0001716D" w:rsidRPr="00B06D8C" w:rsidTr="00B06D8C">
        <w:tc>
          <w:tcPr>
            <w:tcW w:w="4889" w:type="dxa"/>
          </w:tcPr>
          <w:p w:rsidR="0001716D" w:rsidRPr="00B06D8C" w:rsidRDefault="0001716D" w:rsidP="00B06D8C">
            <w:pPr>
              <w:spacing w:before="40"/>
              <w:rPr>
                <w:rFonts w:cs="Arial"/>
                <w:sz w:val="16"/>
                <w:szCs w:val="16"/>
              </w:rPr>
            </w:pPr>
          </w:p>
        </w:tc>
        <w:tc>
          <w:tcPr>
            <w:tcW w:w="4890" w:type="dxa"/>
            <w:tcBorders>
              <w:top w:val="single" w:sz="4" w:space="0" w:color="auto"/>
            </w:tcBorders>
          </w:tcPr>
          <w:p w:rsidR="0001716D" w:rsidRPr="00B06D8C" w:rsidRDefault="0001716D" w:rsidP="00B06D8C">
            <w:pPr>
              <w:spacing w:before="40"/>
              <w:jc w:val="right"/>
              <w:rPr>
                <w:rFonts w:cs="Arial"/>
                <w:sz w:val="16"/>
                <w:szCs w:val="16"/>
              </w:rPr>
            </w:pPr>
            <w:r w:rsidRPr="00B06D8C">
              <w:rPr>
                <w:rFonts w:cs="Arial"/>
                <w:sz w:val="16"/>
                <w:szCs w:val="16"/>
              </w:rPr>
              <w:t>registrační číslo</w:t>
            </w:r>
          </w:p>
        </w:tc>
      </w:tr>
    </w:tbl>
    <w:p w:rsidR="0001716D" w:rsidRPr="008C4B06" w:rsidRDefault="0001716D" w:rsidP="0001716D">
      <w:pPr>
        <w:rPr>
          <w:rFonts w:cs="Arial"/>
        </w:rPr>
      </w:pPr>
    </w:p>
    <w:p w:rsidR="0001716D" w:rsidRDefault="0001716D" w:rsidP="0001716D">
      <w:pPr>
        <w:spacing w:after="120"/>
        <w:rPr>
          <w:rFonts w:cs="Arial"/>
          <w:b/>
          <w:sz w:val="28"/>
          <w:szCs w:val="28"/>
        </w:rPr>
      </w:pPr>
      <w:r w:rsidRPr="008C4B06">
        <w:rPr>
          <w:rFonts w:cs="Arial"/>
          <w:b/>
          <w:sz w:val="28"/>
          <w:szCs w:val="28"/>
        </w:rPr>
        <w:t>SPLÁTKOVÝ PLÁN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6065"/>
      </w:tblGrid>
      <w:tr w:rsidR="006F5903" w:rsidRPr="00B06D8C" w:rsidTr="00B06D8C">
        <w:tc>
          <w:tcPr>
            <w:tcW w:w="3227" w:type="dxa"/>
          </w:tcPr>
          <w:p w:rsidR="006F5903" w:rsidRPr="00B06D8C" w:rsidRDefault="006F5903" w:rsidP="00B06D8C">
            <w:pPr>
              <w:spacing w:before="60" w:after="60"/>
              <w:rPr>
                <w:rFonts w:cs="Arial"/>
                <w:b/>
              </w:rPr>
            </w:pPr>
            <w:r w:rsidRPr="00B06D8C">
              <w:rPr>
                <w:rFonts w:cs="Arial"/>
                <w:b/>
              </w:rPr>
              <w:t>Výše jistiny Úvěru:</w:t>
            </w:r>
          </w:p>
        </w:tc>
        <w:tc>
          <w:tcPr>
            <w:tcW w:w="6552" w:type="dxa"/>
          </w:tcPr>
          <w:p w:rsidR="006F5903" w:rsidRPr="00B06D8C" w:rsidRDefault="00926EF0" w:rsidP="00B06D8C">
            <w:pPr>
              <w:spacing w:before="60" w:after="60"/>
              <w:rPr>
                <w:rFonts w:cs="Arial"/>
                <w:b/>
              </w:rPr>
            </w:pPr>
            <w:r>
              <w:rPr>
                <w:rFonts w:cs="Arial"/>
                <w:b/>
              </w:rPr>
              <w:t>10 000 000,00 Kč</w:t>
            </w:r>
          </w:p>
        </w:tc>
      </w:tr>
    </w:tbl>
    <w:p w:rsidR="006F5903" w:rsidRPr="006F5903" w:rsidRDefault="006F5903" w:rsidP="006F5903">
      <w:pPr>
        <w:rPr>
          <w:rFonts w:cs="Arial"/>
        </w:rPr>
      </w:pPr>
    </w:p>
    <w:p w:rsidR="005B3883" w:rsidRPr="008C4B06" w:rsidRDefault="005B3883" w:rsidP="005B3883">
      <w:pPr>
        <w:pStyle w:val="Napoveda"/>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3024"/>
        <w:gridCol w:w="3025"/>
        <w:gridCol w:w="3014"/>
      </w:tblGrid>
      <w:tr w:rsidR="0001716D" w:rsidRPr="00B06D8C" w:rsidTr="00B06D8C">
        <w:tc>
          <w:tcPr>
            <w:tcW w:w="3259" w:type="dxa"/>
          </w:tcPr>
          <w:p w:rsidR="0001716D" w:rsidRPr="00B06D8C" w:rsidRDefault="0001716D" w:rsidP="00B06D8C">
            <w:pPr>
              <w:spacing w:before="60" w:after="60"/>
              <w:rPr>
                <w:rFonts w:cs="Arial"/>
              </w:rPr>
            </w:pPr>
            <w:r w:rsidRPr="00B06D8C">
              <w:rPr>
                <w:rFonts w:cs="Arial"/>
                <w:b/>
                <w:bCs/>
              </w:rPr>
              <w:t>Termín splátky úroku</w:t>
            </w:r>
          </w:p>
        </w:tc>
        <w:tc>
          <w:tcPr>
            <w:tcW w:w="3260" w:type="dxa"/>
          </w:tcPr>
          <w:p w:rsidR="0001716D" w:rsidRPr="00B06D8C" w:rsidRDefault="0001716D" w:rsidP="00B06D8C">
            <w:pPr>
              <w:spacing w:before="60" w:after="60"/>
              <w:rPr>
                <w:rFonts w:cs="Arial"/>
              </w:rPr>
            </w:pPr>
            <w:r w:rsidRPr="00B06D8C">
              <w:rPr>
                <w:rFonts w:cs="Arial"/>
                <w:b/>
                <w:bCs/>
              </w:rPr>
              <w:t>Termín splátky jistiny</w:t>
            </w:r>
          </w:p>
        </w:tc>
        <w:tc>
          <w:tcPr>
            <w:tcW w:w="3260" w:type="dxa"/>
          </w:tcPr>
          <w:p w:rsidR="0001716D" w:rsidRPr="00B06D8C" w:rsidRDefault="0001716D" w:rsidP="00B06D8C">
            <w:pPr>
              <w:spacing w:before="60" w:after="60"/>
              <w:rPr>
                <w:rFonts w:cs="Arial"/>
              </w:rPr>
            </w:pPr>
            <w:r w:rsidRPr="00B06D8C">
              <w:rPr>
                <w:rFonts w:cs="Arial"/>
                <w:b/>
                <w:bCs/>
              </w:rPr>
              <w:t>Výše splátky jistiny v Kč</w:t>
            </w:r>
          </w:p>
        </w:tc>
      </w:tr>
      <w:tr w:rsidR="0001716D" w:rsidRPr="00B06D8C" w:rsidTr="00B06D8C">
        <w:tc>
          <w:tcPr>
            <w:tcW w:w="3259" w:type="dxa"/>
          </w:tcPr>
          <w:p w:rsidR="0001716D" w:rsidRPr="00B06D8C" w:rsidRDefault="00926EF0" w:rsidP="00B06D8C">
            <w:pPr>
              <w:spacing w:before="60" w:after="60"/>
              <w:rPr>
                <w:rFonts w:cs="Arial"/>
              </w:rPr>
            </w:pPr>
            <w:r>
              <w:rPr>
                <w:rFonts w:cs="Arial"/>
              </w:rPr>
              <w:t>30.09.2017</w:t>
            </w:r>
          </w:p>
        </w:tc>
        <w:tc>
          <w:tcPr>
            <w:tcW w:w="3260" w:type="dxa"/>
          </w:tcPr>
          <w:p w:rsidR="0001716D" w:rsidRPr="00B06D8C" w:rsidRDefault="00926EF0" w:rsidP="00B06D8C">
            <w:pPr>
              <w:spacing w:before="60" w:after="60"/>
              <w:rPr>
                <w:rFonts w:cs="Arial"/>
              </w:rPr>
            </w:pPr>
            <w:r>
              <w:rPr>
                <w:rFonts w:cs="Arial"/>
              </w:rPr>
              <w:t>30.09.2017</w:t>
            </w:r>
          </w:p>
        </w:tc>
        <w:tc>
          <w:tcPr>
            <w:tcW w:w="3260" w:type="dxa"/>
          </w:tcPr>
          <w:p w:rsidR="0001716D" w:rsidRPr="00B06D8C" w:rsidRDefault="00926EF0" w:rsidP="00B06D8C">
            <w:pPr>
              <w:spacing w:before="60" w:after="60"/>
              <w:rPr>
                <w:rFonts w:cs="Arial"/>
              </w:rPr>
            </w:pPr>
            <w:r>
              <w:rPr>
                <w:rFonts w:cs="Arial"/>
              </w:rPr>
              <w:t>84 034,00</w:t>
            </w:r>
          </w:p>
        </w:tc>
      </w:tr>
      <w:tr w:rsidR="0001716D" w:rsidRPr="00B06D8C" w:rsidTr="00B06D8C">
        <w:tc>
          <w:tcPr>
            <w:tcW w:w="3259" w:type="dxa"/>
          </w:tcPr>
          <w:p w:rsidR="0001716D" w:rsidRPr="00B06D8C" w:rsidRDefault="00926EF0" w:rsidP="00B06D8C">
            <w:pPr>
              <w:spacing w:before="60" w:after="60"/>
              <w:rPr>
                <w:rFonts w:cs="Arial"/>
              </w:rPr>
            </w:pPr>
            <w:r>
              <w:rPr>
                <w:rFonts w:cs="Arial"/>
              </w:rPr>
              <w:t>31.10.2017</w:t>
            </w:r>
          </w:p>
        </w:tc>
        <w:tc>
          <w:tcPr>
            <w:tcW w:w="3260" w:type="dxa"/>
          </w:tcPr>
          <w:p w:rsidR="0001716D" w:rsidRPr="00B06D8C" w:rsidRDefault="00926EF0" w:rsidP="00B06D8C">
            <w:pPr>
              <w:spacing w:before="60" w:after="60"/>
              <w:rPr>
                <w:rFonts w:cs="Arial"/>
              </w:rPr>
            </w:pPr>
            <w:r>
              <w:rPr>
                <w:rFonts w:cs="Arial"/>
              </w:rPr>
              <w:t>31.10.2017</w:t>
            </w:r>
          </w:p>
        </w:tc>
        <w:tc>
          <w:tcPr>
            <w:tcW w:w="3260" w:type="dxa"/>
          </w:tcPr>
          <w:p w:rsidR="0001716D" w:rsidRPr="00B06D8C" w:rsidRDefault="00926EF0" w:rsidP="00B06D8C">
            <w:pPr>
              <w:spacing w:before="60" w:after="60"/>
              <w:rPr>
                <w:rFonts w:cs="Arial"/>
              </w:rPr>
            </w:pPr>
            <w:r>
              <w:rPr>
                <w:rFonts w:cs="Arial"/>
              </w:rPr>
              <w:t>84 034,00</w:t>
            </w:r>
          </w:p>
        </w:tc>
      </w:tr>
      <w:tr w:rsidR="0001716D" w:rsidRPr="00B06D8C" w:rsidTr="00B06D8C">
        <w:tc>
          <w:tcPr>
            <w:tcW w:w="3259" w:type="dxa"/>
          </w:tcPr>
          <w:p w:rsidR="0001716D" w:rsidRPr="00B06D8C" w:rsidRDefault="00926EF0" w:rsidP="00B06D8C">
            <w:pPr>
              <w:spacing w:before="60" w:after="60"/>
              <w:rPr>
                <w:rFonts w:cs="Arial"/>
              </w:rPr>
            </w:pPr>
            <w:r>
              <w:rPr>
                <w:rFonts w:cs="Arial"/>
              </w:rPr>
              <w:t>30.11.2017</w:t>
            </w:r>
          </w:p>
        </w:tc>
        <w:tc>
          <w:tcPr>
            <w:tcW w:w="3260" w:type="dxa"/>
          </w:tcPr>
          <w:p w:rsidR="0001716D" w:rsidRPr="00B06D8C" w:rsidRDefault="00926EF0" w:rsidP="00B06D8C">
            <w:pPr>
              <w:spacing w:before="60" w:after="60"/>
              <w:rPr>
                <w:rFonts w:cs="Arial"/>
              </w:rPr>
            </w:pPr>
            <w:r>
              <w:rPr>
                <w:rFonts w:cs="Arial"/>
              </w:rPr>
              <w:t>30.11.2017</w:t>
            </w:r>
          </w:p>
        </w:tc>
        <w:tc>
          <w:tcPr>
            <w:tcW w:w="3260" w:type="dxa"/>
          </w:tcPr>
          <w:p w:rsidR="0001716D" w:rsidRPr="00B06D8C" w:rsidRDefault="00926EF0" w:rsidP="00B06D8C">
            <w:pPr>
              <w:spacing w:before="60" w:after="60"/>
              <w:rPr>
                <w:rFonts w:cs="Arial"/>
              </w:rPr>
            </w:pPr>
            <w:r>
              <w:rPr>
                <w:rFonts w:cs="Arial"/>
              </w:rPr>
              <w:t>84 034,00</w:t>
            </w:r>
          </w:p>
        </w:tc>
      </w:tr>
      <w:tr w:rsidR="0001716D" w:rsidRPr="00B06D8C" w:rsidTr="00B06D8C">
        <w:tc>
          <w:tcPr>
            <w:tcW w:w="3259" w:type="dxa"/>
          </w:tcPr>
          <w:p w:rsidR="0001716D" w:rsidRPr="00B06D8C" w:rsidRDefault="00926EF0" w:rsidP="00B06D8C">
            <w:pPr>
              <w:spacing w:before="60" w:after="60"/>
              <w:rPr>
                <w:rFonts w:cs="Arial"/>
              </w:rPr>
            </w:pPr>
            <w:r>
              <w:rPr>
                <w:rFonts w:cs="Arial"/>
              </w:rPr>
              <w:t>31.12.2017</w:t>
            </w:r>
          </w:p>
        </w:tc>
        <w:tc>
          <w:tcPr>
            <w:tcW w:w="3260" w:type="dxa"/>
          </w:tcPr>
          <w:p w:rsidR="0001716D" w:rsidRPr="00B06D8C" w:rsidRDefault="00926EF0" w:rsidP="00B06D8C">
            <w:pPr>
              <w:spacing w:before="60" w:after="60"/>
              <w:rPr>
                <w:rFonts w:cs="Arial"/>
              </w:rPr>
            </w:pPr>
            <w:r>
              <w:rPr>
                <w:rFonts w:cs="Arial"/>
              </w:rPr>
              <w:t>31.12.2017</w:t>
            </w:r>
          </w:p>
        </w:tc>
        <w:tc>
          <w:tcPr>
            <w:tcW w:w="3260" w:type="dxa"/>
          </w:tcPr>
          <w:p w:rsidR="0001716D" w:rsidRPr="00B06D8C" w:rsidRDefault="00926EF0" w:rsidP="00B06D8C">
            <w:pPr>
              <w:spacing w:before="60" w:after="60"/>
              <w:rPr>
                <w:rFonts w:cs="Arial"/>
              </w:rPr>
            </w:pPr>
            <w:r>
              <w:rPr>
                <w:rFonts w:cs="Arial"/>
              </w:rPr>
              <w:t>84 034,00</w:t>
            </w:r>
          </w:p>
        </w:tc>
      </w:tr>
      <w:tr w:rsidR="0001716D" w:rsidRPr="00B06D8C" w:rsidTr="00B06D8C">
        <w:tc>
          <w:tcPr>
            <w:tcW w:w="3259" w:type="dxa"/>
          </w:tcPr>
          <w:p w:rsidR="0001716D" w:rsidRPr="00B06D8C" w:rsidRDefault="00926EF0" w:rsidP="00B06D8C">
            <w:pPr>
              <w:spacing w:before="60" w:after="60"/>
              <w:rPr>
                <w:rFonts w:cs="Arial"/>
              </w:rPr>
            </w:pPr>
            <w:r>
              <w:rPr>
                <w:rFonts w:cs="Arial"/>
              </w:rPr>
              <w:t>31.01.2018</w:t>
            </w:r>
          </w:p>
        </w:tc>
        <w:tc>
          <w:tcPr>
            <w:tcW w:w="3260" w:type="dxa"/>
          </w:tcPr>
          <w:p w:rsidR="0001716D" w:rsidRPr="00B06D8C" w:rsidRDefault="00926EF0" w:rsidP="00B06D8C">
            <w:pPr>
              <w:spacing w:before="60" w:after="60"/>
              <w:rPr>
                <w:rFonts w:cs="Arial"/>
              </w:rPr>
            </w:pPr>
            <w:r>
              <w:rPr>
                <w:rFonts w:cs="Arial"/>
              </w:rPr>
              <w:t>31.01.2018</w:t>
            </w:r>
          </w:p>
        </w:tc>
        <w:tc>
          <w:tcPr>
            <w:tcW w:w="3260" w:type="dxa"/>
          </w:tcPr>
          <w:p w:rsidR="0001716D" w:rsidRPr="00B06D8C"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28.02.2018</w:t>
            </w:r>
          </w:p>
        </w:tc>
        <w:tc>
          <w:tcPr>
            <w:tcW w:w="3260" w:type="dxa"/>
          </w:tcPr>
          <w:p w:rsidR="00926EF0" w:rsidRDefault="00926EF0" w:rsidP="00B06D8C">
            <w:pPr>
              <w:spacing w:before="60" w:after="60"/>
              <w:rPr>
                <w:rFonts w:cs="Arial"/>
              </w:rPr>
            </w:pPr>
            <w:r>
              <w:rPr>
                <w:rFonts w:cs="Arial"/>
              </w:rPr>
              <w:t>28.02.2018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31.03.2018</w:t>
            </w:r>
          </w:p>
        </w:tc>
        <w:tc>
          <w:tcPr>
            <w:tcW w:w="3260" w:type="dxa"/>
          </w:tcPr>
          <w:p w:rsidR="00926EF0" w:rsidRDefault="00926EF0" w:rsidP="00B06D8C">
            <w:pPr>
              <w:spacing w:before="60" w:after="60"/>
              <w:rPr>
                <w:rFonts w:cs="Arial"/>
              </w:rPr>
            </w:pPr>
            <w:r>
              <w:rPr>
                <w:rFonts w:cs="Arial"/>
              </w:rPr>
              <w:t>31.03.2018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30.04.2018</w:t>
            </w:r>
          </w:p>
        </w:tc>
        <w:tc>
          <w:tcPr>
            <w:tcW w:w="3260" w:type="dxa"/>
          </w:tcPr>
          <w:p w:rsidR="00926EF0" w:rsidRDefault="00926EF0" w:rsidP="00B06D8C">
            <w:pPr>
              <w:spacing w:before="60" w:after="60"/>
              <w:rPr>
                <w:rFonts w:cs="Arial"/>
              </w:rPr>
            </w:pPr>
            <w:r>
              <w:rPr>
                <w:rFonts w:cs="Arial"/>
              </w:rPr>
              <w:t>30.04.2018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31.05.2018</w:t>
            </w:r>
          </w:p>
        </w:tc>
        <w:tc>
          <w:tcPr>
            <w:tcW w:w="3260" w:type="dxa"/>
          </w:tcPr>
          <w:p w:rsidR="00926EF0" w:rsidRDefault="00926EF0" w:rsidP="00B06D8C">
            <w:pPr>
              <w:spacing w:before="60" w:after="60"/>
              <w:rPr>
                <w:rFonts w:cs="Arial"/>
              </w:rPr>
            </w:pPr>
            <w:r>
              <w:rPr>
                <w:rFonts w:cs="Arial"/>
              </w:rPr>
              <w:t>31.05.2018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30.06.2018</w:t>
            </w:r>
          </w:p>
        </w:tc>
        <w:tc>
          <w:tcPr>
            <w:tcW w:w="3260" w:type="dxa"/>
          </w:tcPr>
          <w:p w:rsidR="00926EF0" w:rsidRDefault="00926EF0" w:rsidP="00B06D8C">
            <w:pPr>
              <w:spacing w:before="60" w:after="60"/>
              <w:rPr>
                <w:rFonts w:cs="Arial"/>
              </w:rPr>
            </w:pPr>
            <w:r>
              <w:rPr>
                <w:rFonts w:cs="Arial"/>
              </w:rPr>
              <w:t>30.06.2018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31.07.2018</w:t>
            </w:r>
          </w:p>
        </w:tc>
        <w:tc>
          <w:tcPr>
            <w:tcW w:w="3260" w:type="dxa"/>
          </w:tcPr>
          <w:p w:rsidR="00926EF0" w:rsidRDefault="00926EF0" w:rsidP="00B06D8C">
            <w:pPr>
              <w:spacing w:before="60" w:after="60"/>
              <w:rPr>
                <w:rFonts w:cs="Arial"/>
              </w:rPr>
            </w:pPr>
            <w:r>
              <w:rPr>
                <w:rFonts w:cs="Arial"/>
              </w:rPr>
              <w:t>31.07.2018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31.08.2018</w:t>
            </w:r>
          </w:p>
        </w:tc>
        <w:tc>
          <w:tcPr>
            <w:tcW w:w="3260" w:type="dxa"/>
          </w:tcPr>
          <w:p w:rsidR="00926EF0" w:rsidRDefault="00926EF0" w:rsidP="00B06D8C">
            <w:pPr>
              <w:spacing w:before="60" w:after="60"/>
              <w:rPr>
                <w:rFonts w:cs="Arial"/>
              </w:rPr>
            </w:pPr>
            <w:r>
              <w:rPr>
                <w:rFonts w:cs="Arial"/>
              </w:rPr>
              <w:t>31.08.2018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30.09.2018</w:t>
            </w:r>
          </w:p>
        </w:tc>
        <w:tc>
          <w:tcPr>
            <w:tcW w:w="3260" w:type="dxa"/>
          </w:tcPr>
          <w:p w:rsidR="00926EF0" w:rsidRDefault="00926EF0" w:rsidP="00B06D8C">
            <w:pPr>
              <w:spacing w:before="60" w:after="60"/>
              <w:rPr>
                <w:rFonts w:cs="Arial"/>
              </w:rPr>
            </w:pPr>
            <w:r>
              <w:rPr>
                <w:rFonts w:cs="Arial"/>
              </w:rPr>
              <w:t>30.09.2018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31.10.2018</w:t>
            </w:r>
          </w:p>
        </w:tc>
        <w:tc>
          <w:tcPr>
            <w:tcW w:w="3260" w:type="dxa"/>
          </w:tcPr>
          <w:p w:rsidR="00926EF0" w:rsidRDefault="00926EF0" w:rsidP="00B06D8C">
            <w:pPr>
              <w:spacing w:before="60" w:after="60"/>
              <w:rPr>
                <w:rFonts w:cs="Arial"/>
              </w:rPr>
            </w:pPr>
            <w:r>
              <w:rPr>
                <w:rFonts w:cs="Arial"/>
              </w:rPr>
              <w:t>31.10.2018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30.11.2018</w:t>
            </w:r>
          </w:p>
        </w:tc>
        <w:tc>
          <w:tcPr>
            <w:tcW w:w="3260" w:type="dxa"/>
          </w:tcPr>
          <w:p w:rsidR="00926EF0" w:rsidRDefault="00926EF0" w:rsidP="00B06D8C">
            <w:pPr>
              <w:spacing w:before="60" w:after="60"/>
              <w:rPr>
                <w:rFonts w:cs="Arial"/>
              </w:rPr>
            </w:pPr>
            <w:r>
              <w:rPr>
                <w:rFonts w:cs="Arial"/>
              </w:rPr>
              <w:t>30.11.2018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31.12.2018</w:t>
            </w:r>
          </w:p>
        </w:tc>
        <w:tc>
          <w:tcPr>
            <w:tcW w:w="3260" w:type="dxa"/>
          </w:tcPr>
          <w:p w:rsidR="00926EF0" w:rsidRDefault="00926EF0" w:rsidP="00B06D8C">
            <w:pPr>
              <w:spacing w:before="60" w:after="60"/>
              <w:rPr>
                <w:rFonts w:cs="Arial"/>
              </w:rPr>
            </w:pPr>
            <w:r>
              <w:rPr>
                <w:rFonts w:cs="Arial"/>
              </w:rPr>
              <w:t>31.12.2018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31.01.2019</w:t>
            </w:r>
          </w:p>
        </w:tc>
        <w:tc>
          <w:tcPr>
            <w:tcW w:w="3260" w:type="dxa"/>
          </w:tcPr>
          <w:p w:rsidR="00926EF0" w:rsidRDefault="00926EF0" w:rsidP="00B06D8C">
            <w:pPr>
              <w:spacing w:before="60" w:after="60"/>
              <w:rPr>
                <w:rFonts w:cs="Arial"/>
              </w:rPr>
            </w:pPr>
            <w:r>
              <w:rPr>
                <w:rFonts w:cs="Arial"/>
              </w:rPr>
              <w:t>31.01.2019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28.02.2019</w:t>
            </w:r>
          </w:p>
        </w:tc>
        <w:tc>
          <w:tcPr>
            <w:tcW w:w="3260" w:type="dxa"/>
          </w:tcPr>
          <w:p w:rsidR="00926EF0" w:rsidRDefault="00926EF0" w:rsidP="00B06D8C">
            <w:pPr>
              <w:spacing w:before="60" w:after="60"/>
              <w:rPr>
                <w:rFonts w:cs="Arial"/>
              </w:rPr>
            </w:pPr>
            <w:r>
              <w:rPr>
                <w:rFonts w:cs="Arial"/>
              </w:rPr>
              <w:t>28.02.2019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31.03.2019</w:t>
            </w:r>
          </w:p>
        </w:tc>
        <w:tc>
          <w:tcPr>
            <w:tcW w:w="3260" w:type="dxa"/>
          </w:tcPr>
          <w:p w:rsidR="00926EF0" w:rsidRDefault="00926EF0" w:rsidP="00B06D8C">
            <w:pPr>
              <w:spacing w:before="60" w:after="60"/>
              <w:rPr>
                <w:rFonts w:cs="Arial"/>
              </w:rPr>
            </w:pPr>
            <w:r>
              <w:rPr>
                <w:rFonts w:cs="Arial"/>
              </w:rPr>
              <w:t>31.03.2019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30.04.2019</w:t>
            </w:r>
          </w:p>
        </w:tc>
        <w:tc>
          <w:tcPr>
            <w:tcW w:w="3260" w:type="dxa"/>
          </w:tcPr>
          <w:p w:rsidR="00926EF0" w:rsidRDefault="00926EF0" w:rsidP="00B06D8C">
            <w:pPr>
              <w:spacing w:before="60" w:after="60"/>
              <w:rPr>
                <w:rFonts w:cs="Arial"/>
              </w:rPr>
            </w:pPr>
            <w:r>
              <w:rPr>
                <w:rFonts w:cs="Arial"/>
              </w:rPr>
              <w:t>30.04.2019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31.05.2019</w:t>
            </w:r>
          </w:p>
        </w:tc>
        <w:tc>
          <w:tcPr>
            <w:tcW w:w="3260" w:type="dxa"/>
          </w:tcPr>
          <w:p w:rsidR="00926EF0" w:rsidRDefault="00926EF0" w:rsidP="00B06D8C">
            <w:pPr>
              <w:spacing w:before="60" w:after="60"/>
              <w:rPr>
                <w:rFonts w:cs="Arial"/>
              </w:rPr>
            </w:pPr>
            <w:r>
              <w:rPr>
                <w:rFonts w:cs="Arial"/>
              </w:rPr>
              <w:t>31.05.2019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30.06.2019</w:t>
            </w:r>
          </w:p>
        </w:tc>
        <w:tc>
          <w:tcPr>
            <w:tcW w:w="3260" w:type="dxa"/>
          </w:tcPr>
          <w:p w:rsidR="00926EF0" w:rsidRDefault="00926EF0" w:rsidP="00B06D8C">
            <w:pPr>
              <w:spacing w:before="60" w:after="60"/>
              <w:rPr>
                <w:rFonts w:cs="Arial"/>
              </w:rPr>
            </w:pPr>
            <w:r>
              <w:rPr>
                <w:rFonts w:cs="Arial"/>
              </w:rPr>
              <w:t>30.06.2019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31.07.2019</w:t>
            </w:r>
          </w:p>
        </w:tc>
        <w:tc>
          <w:tcPr>
            <w:tcW w:w="3260" w:type="dxa"/>
          </w:tcPr>
          <w:p w:rsidR="00926EF0" w:rsidRDefault="00926EF0" w:rsidP="00B06D8C">
            <w:pPr>
              <w:spacing w:before="60" w:after="60"/>
              <w:rPr>
                <w:rFonts w:cs="Arial"/>
              </w:rPr>
            </w:pPr>
            <w:r>
              <w:rPr>
                <w:rFonts w:cs="Arial"/>
              </w:rPr>
              <w:t>31.07.2019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31.08.2019</w:t>
            </w:r>
          </w:p>
        </w:tc>
        <w:tc>
          <w:tcPr>
            <w:tcW w:w="3260" w:type="dxa"/>
          </w:tcPr>
          <w:p w:rsidR="00926EF0" w:rsidRDefault="00926EF0" w:rsidP="00B06D8C">
            <w:pPr>
              <w:spacing w:before="60" w:after="60"/>
              <w:rPr>
                <w:rFonts w:cs="Arial"/>
              </w:rPr>
            </w:pPr>
            <w:r>
              <w:rPr>
                <w:rFonts w:cs="Arial"/>
              </w:rPr>
              <w:t>31.08.2019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30.09.2019</w:t>
            </w:r>
          </w:p>
        </w:tc>
        <w:tc>
          <w:tcPr>
            <w:tcW w:w="3260" w:type="dxa"/>
          </w:tcPr>
          <w:p w:rsidR="00926EF0" w:rsidRDefault="00926EF0" w:rsidP="00B06D8C">
            <w:pPr>
              <w:spacing w:before="60" w:after="60"/>
              <w:rPr>
                <w:rFonts w:cs="Arial"/>
              </w:rPr>
            </w:pPr>
            <w:r>
              <w:rPr>
                <w:rFonts w:cs="Arial"/>
              </w:rPr>
              <w:t>30.09.2019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31.10.2019</w:t>
            </w:r>
          </w:p>
        </w:tc>
        <w:tc>
          <w:tcPr>
            <w:tcW w:w="3260" w:type="dxa"/>
          </w:tcPr>
          <w:p w:rsidR="00926EF0" w:rsidRDefault="00926EF0" w:rsidP="00B06D8C">
            <w:pPr>
              <w:spacing w:before="60" w:after="60"/>
              <w:rPr>
                <w:rFonts w:cs="Arial"/>
              </w:rPr>
            </w:pPr>
            <w:r>
              <w:rPr>
                <w:rFonts w:cs="Arial"/>
              </w:rPr>
              <w:t>31.10.2019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30.11.2019</w:t>
            </w:r>
          </w:p>
        </w:tc>
        <w:tc>
          <w:tcPr>
            <w:tcW w:w="3260" w:type="dxa"/>
          </w:tcPr>
          <w:p w:rsidR="00926EF0" w:rsidRDefault="00926EF0" w:rsidP="00B06D8C">
            <w:pPr>
              <w:spacing w:before="60" w:after="60"/>
              <w:rPr>
                <w:rFonts w:cs="Arial"/>
              </w:rPr>
            </w:pPr>
            <w:r>
              <w:rPr>
                <w:rFonts w:cs="Arial"/>
              </w:rPr>
              <w:t>30.11.2019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31.12.2019</w:t>
            </w:r>
          </w:p>
        </w:tc>
        <w:tc>
          <w:tcPr>
            <w:tcW w:w="3260" w:type="dxa"/>
          </w:tcPr>
          <w:p w:rsidR="00926EF0" w:rsidRDefault="00926EF0" w:rsidP="00B06D8C">
            <w:pPr>
              <w:spacing w:before="60" w:after="60"/>
              <w:rPr>
                <w:rFonts w:cs="Arial"/>
              </w:rPr>
            </w:pPr>
            <w:r>
              <w:rPr>
                <w:rFonts w:cs="Arial"/>
              </w:rPr>
              <w:t>31.12.2019</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31.01.2020</w:t>
            </w:r>
          </w:p>
        </w:tc>
        <w:tc>
          <w:tcPr>
            <w:tcW w:w="3260" w:type="dxa"/>
          </w:tcPr>
          <w:p w:rsidR="00926EF0" w:rsidRDefault="00926EF0" w:rsidP="00B06D8C">
            <w:pPr>
              <w:spacing w:before="60" w:after="60"/>
              <w:rPr>
                <w:rFonts w:cs="Arial"/>
              </w:rPr>
            </w:pPr>
            <w:r>
              <w:rPr>
                <w:rFonts w:cs="Arial"/>
              </w:rPr>
              <w:t>31.01.2020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E227D7">
            <w:pPr>
              <w:spacing w:before="60" w:after="60"/>
              <w:rPr>
                <w:rFonts w:cs="Arial"/>
              </w:rPr>
            </w:pPr>
            <w:r>
              <w:rPr>
                <w:rFonts w:cs="Arial"/>
              </w:rPr>
              <w:t>2</w:t>
            </w:r>
            <w:r w:rsidR="00E227D7">
              <w:rPr>
                <w:rFonts w:cs="Arial"/>
              </w:rPr>
              <w:t>9</w:t>
            </w:r>
            <w:r>
              <w:rPr>
                <w:rFonts w:cs="Arial"/>
              </w:rPr>
              <w:t>.02.2020</w:t>
            </w:r>
          </w:p>
        </w:tc>
        <w:tc>
          <w:tcPr>
            <w:tcW w:w="3260" w:type="dxa"/>
          </w:tcPr>
          <w:p w:rsidR="00926EF0" w:rsidRDefault="00926EF0" w:rsidP="00E227D7">
            <w:pPr>
              <w:spacing w:before="60" w:after="60"/>
              <w:rPr>
                <w:rFonts w:cs="Arial"/>
              </w:rPr>
            </w:pPr>
            <w:r>
              <w:rPr>
                <w:rFonts w:cs="Arial"/>
              </w:rPr>
              <w:t>2</w:t>
            </w:r>
            <w:r w:rsidR="00E227D7">
              <w:rPr>
                <w:rFonts w:cs="Arial"/>
              </w:rPr>
              <w:t>9</w:t>
            </w:r>
            <w:r>
              <w:rPr>
                <w:rFonts w:cs="Arial"/>
              </w:rPr>
              <w:t>.02.2020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31.03.2020</w:t>
            </w:r>
          </w:p>
        </w:tc>
        <w:tc>
          <w:tcPr>
            <w:tcW w:w="3260" w:type="dxa"/>
          </w:tcPr>
          <w:p w:rsidR="00926EF0" w:rsidRDefault="00926EF0" w:rsidP="00B06D8C">
            <w:pPr>
              <w:spacing w:before="60" w:after="60"/>
              <w:rPr>
                <w:rFonts w:cs="Arial"/>
              </w:rPr>
            </w:pPr>
            <w:r>
              <w:rPr>
                <w:rFonts w:cs="Arial"/>
              </w:rPr>
              <w:t>31.03.2020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B06D8C">
            <w:pPr>
              <w:spacing w:before="60" w:after="60"/>
              <w:rPr>
                <w:rFonts w:cs="Arial"/>
              </w:rPr>
            </w:pPr>
            <w:r>
              <w:rPr>
                <w:rFonts w:cs="Arial"/>
              </w:rPr>
              <w:t>30.04.2020</w:t>
            </w:r>
          </w:p>
        </w:tc>
        <w:tc>
          <w:tcPr>
            <w:tcW w:w="3260" w:type="dxa"/>
          </w:tcPr>
          <w:p w:rsidR="00926EF0" w:rsidRDefault="00926EF0" w:rsidP="00B06D8C">
            <w:pPr>
              <w:spacing w:before="60" w:after="60"/>
              <w:rPr>
                <w:rFonts w:cs="Arial"/>
              </w:rPr>
            </w:pPr>
            <w:r>
              <w:rPr>
                <w:rFonts w:cs="Arial"/>
              </w:rPr>
              <w:t>30.04.2020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lastRenderedPageBreak/>
              <w:t>31.05.2020</w:t>
            </w:r>
          </w:p>
        </w:tc>
        <w:tc>
          <w:tcPr>
            <w:tcW w:w="3260" w:type="dxa"/>
          </w:tcPr>
          <w:p w:rsidR="00926EF0" w:rsidRDefault="00926EF0" w:rsidP="00B06D8C">
            <w:pPr>
              <w:spacing w:before="60" w:after="60"/>
              <w:rPr>
                <w:rFonts w:cs="Arial"/>
              </w:rPr>
            </w:pPr>
            <w:r>
              <w:rPr>
                <w:rFonts w:cs="Arial"/>
              </w:rPr>
              <w:t>31.05.2020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30.06.2020</w:t>
            </w:r>
          </w:p>
        </w:tc>
        <w:tc>
          <w:tcPr>
            <w:tcW w:w="3260" w:type="dxa"/>
          </w:tcPr>
          <w:p w:rsidR="00926EF0" w:rsidRDefault="00926EF0" w:rsidP="00B06D8C">
            <w:pPr>
              <w:spacing w:before="60" w:after="60"/>
              <w:rPr>
                <w:rFonts w:cs="Arial"/>
              </w:rPr>
            </w:pPr>
            <w:r>
              <w:rPr>
                <w:rFonts w:cs="Arial"/>
              </w:rPr>
              <w:t>30.06.2020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31.07.2020</w:t>
            </w:r>
          </w:p>
        </w:tc>
        <w:tc>
          <w:tcPr>
            <w:tcW w:w="3260" w:type="dxa"/>
          </w:tcPr>
          <w:p w:rsidR="00926EF0" w:rsidRDefault="00926EF0" w:rsidP="00B06D8C">
            <w:pPr>
              <w:spacing w:before="60" w:after="60"/>
              <w:rPr>
                <w:rFonts w:cs="Arial"/>
              </w:rPr>
            </w:pPr>
            <w:r>
              <w:rPr>
                <w:rFonts w:cs="Arial"/>
              </w:rPr>
              <w:t>31.07.2020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31.08.2020</w:t>
            </w:r>
          </w:p>
        </w:tc>
        <w:tc>
          <w:tcPr>
            <w:tcW w:w="3260" w:type="dxa"/>
          </w:tcPr>
          <w:p w:rsidR="00926EF0" w:rsidRDefault="00926EF0" w:rsidP="00B06D8C">
            <w:pPr>
              <w:spacing w:before="60" w:after="60"/>
              <w:rPr>
                <w:rFonts w:cs="Arial"/>
              </w:rPr>
            </w:pPr>
            <w:r>
              <w:rPr>
                <w:rFonts w:cs="Arial"/>
              </w:rPr>
              <w:t>31.08.2020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30.09.2020</w:t>
            </w:r>
          </w:p>
        </w:tc>
        <w:tc>
          <w:tcPr>
            <w:tcW w:w="3260" w:type="dxa"/>
          </w:tcPr>
          <w:p w:rsidR="00926EF0" w:rsidRDefault="00926EF0" w:rsidP="00B06D8C">
            <w:pPr>
              <w:spacing w:before="60" w:after="60"/>
              <w:rPr>
                <w:rFonts w:cs="Arial"/>
              </w:rPr>
            </w:pPr>
            <w:r>
              <w:rPr>
                <w:rFonts w:cs="Arial"/>
              </w:rPr>
              <w:t>30.09.2020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31.10.2020</w:t>
            </w:r>
          </w:p>
        </w:tc>
        <w:tc>
          <w:tcPr>
            <w:tcW w:w="3260" w:type="dxa"/>
          </w:tcPr>
          <w:p w:rsidR="00926EF0" w:rsidRDefault="00926EF0" w:rsidP="00B06D8C">
            <w:pPr>
              <w:spacing w:before="60" w:after="60"/>
              <w:rPr>
                <w:rFonts w:cs="Arial"/>
              </w:rPr>
            </w:pPr>
            <w:r>
              <w:rPr>
                <w:rFonts w:cs="Arial"/>
              </w:rPr>
              <w:t>31.10.2020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30.11.2020</w:t>
            </w:r>
          </w:p>
        </w:tc>
        <w:tc>
          <w:tcPr>
            <w:tcW w:w="3260" w:type="dxa"/>
          </w:tcPr>
          <w:p w:rsidR="00926EF0" w:rsidRDefault="00926EF0" w:rsidP="00B06D8C">
            <w:pPr>
              <w:spacing w:before="60" w:after="60"/>
              <w:rPr>
                <w:rFonts w:cs="Arial"/>
              </w:rPr>
            </w:pPr>
            <w:r>
              <w:rPr>
                <w:rFonts w:cs="Arial"/>
              </w:rPr>
              <w:t>30.11.2020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31.12.2020</w:t>
            </w:r>
          </w:p>
        </w:tc>
        <w:tc>
          <w:tcPr>
            <w:tcW w:w="3260" w:type="dxa"/>
          </w:tcPr>
          <w:p w:rsidR="00926EF0" w:rsidRDefault="00926EF0" w:rsidP="00B06D8C">
            <w:pPr>
              <w:spacing w:before="60" w:after="60"/>
              <w:rPr>
                <w:rFonts w:cs="Arial"/>
              </w:rPr>
            </w:pPr>
            <w:r>
              <w:rPr>
                <w:rFonts w:cs="Arial"/>
              </w:rPr>
              <w:t>31.12.2020</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31.01.2021</w:t>
            </w:r>
          </w:p>
        </w:tc>
        <w:tc>
          <w:tcPr>
            <w:tcW w:w="3260" w:type="dxa"/>
          </w:tcPr>
          <w:p w:rsidR="00926EF0" w:rsidRDefault="00926EF0" w:rsidP="00B06D8C">
            <w:pPr>
              <w:spacing w:before="60" w:after="60"/>
              <w:rPr>
                <w:rFonts w:cs="Arial"/>
              </w:rPr>
            </w:pPr>
            <w:r>
              <w:rPr>
                <w:rFonts w:cs="Arial"/>
              </w:rPr>
              <w:t>31.01.2021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28.02.2021</w:t>
            </w:r>
          </w:p>
        </w:tc>
        <w:tc>
          <w:tcPr>
            <w:tcW w:w="3260" w:type="dxa"/>
          </w:tcPr>
          <w:p w:rsidR="00926EF0" w:rsidRDefault="00926EF0" w:rsidP="00B06D8C">
            <w:pPr>
              <w:spacing w:before="60" w:after="60"/>
              <w:rPr>
                <w:rFonts w:cs="Arial"/>
              </w:rPr>
            </w:pPr>
            <w:r>
              <w:rPr>
                <w:rFonts w:cs="Arial"/>
              </w:rPr>
              <w:t>28.02.2021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31.03.2021</w:t>
            </w:r>
          </w:p>
        </w:tc>
        <w:tc>
          <w:tcPr>
            <w:tcW w:w="3260" w:type="dxa"/>
          </w:tcPr>
          <w:p w:rsidR="00926EF0" w:rsidRDefault="00926EF0" w:rsidP="00B06D8C">
            <w:pPr>
              <w:spacing w:before="60" w:after="60"/>
              <w:rPr>
                <w:rFonts w:cs="Arial"/>
              </w:rPr>
            </w:pPr>
            <w:r>
              <w:rPr>
                <w:rFonts w:cs="Arial"/>
              </w:rPr>
              <w:t>31.03.2021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30.04.2021</w:t>
            </w:r>
          </w:p>
        </w:tc>
        <w:tc>
          <w:tcPr>
            <w:tcW w:w="3260" w:type="dxa"/>
          </w:tcPr>
          <w:p w:rsidR="00926EF0" w:rsidRDefault="00926EF0" w:rsidP="00B06D8C">
            <w:pPr>
              <w:spacing w:before="60" w:after="60"/>
              <w:rPr>
                <w:rFonts w:cs="Arial"/>
              </w:rPr>
            </w:pPr>
            <w:r>
              <w:rPr>
                <w:rFonts w:cs="Arial"/>
              </w:rPr>
              <w:t>30.04.2021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31.05.2021</w:t>
            </w:r>
          </w:p>
        </w:tc>
        <w:tc>
          <w:tcPr>
            <w:tcW w:w="3260" w:type="dxa"/>
          </w:tcPr>
          <w:p w:rsidR="00926EF0" w:rsidRDefault="00926EF0" w:rsidP="00B06D8C">
            <w:pPr>
              <w:spacing w:before="60" w:after="60"/>
              <w:rPr>
                <w:rFonts w:cs="Arial"/>
              </w:rPr>
            </w:pPr>
            <w:r>
              <w:rPr>
                <w:rFonts w:cs="Arial"/>
              </w:rPr>
              <w:t>31.05.2021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30.06.2021</w:t>
            </w:r>
          </w:p>
        </w:tc>
        <w:tc>
          <w:tcPr>
            <w:tcW w:w="3260" w:type="dxa"/>
          </w:tcPr>
          <w:p w:rsidR="00926EF0" w:rsidRDefault="00926EF0" w:rsidP="00B06D8C">
            <w:pPr>
              <w:spacing w:before="60" w:after="60"/>
              <w:rPr>
                <w:rFonts w:cs="Arial"/>
              </w:rPr>
            </w:pPr>
            <w:r>
              <w:rPr>
                <w:rFonts w:cs="Arial"/>
              </w:rPr>
              <w:t>30.06.2021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31.07.2021</w:t>
            </w:r>
          </w:p>
        </w:tc>
        <w:tc>
          <w:tcPr>
            <w:tcW w:w="3260" w:type="dxa"/>
          </w:tcPr>
          <w:p w:rsidR="00926EF0" w:rsidRDefault="00926EF0" w:rsidP="00B06D8C">
            <w:pPr>
              <w:spacing w:before="60" w:after="60"/>
              <w:rPr>
                <w:rFonts w:cs="Arial"/>
              </w:rPr>
            </w:pPr>
            <w:r>
              <w:rPr>
                <w:rFonts w:cs="Arial"/>
              </w:rPr>
              <w:t>31.07.2021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31.08.2021</w:t>
            </w:r>
          </w:p>
        </w:tc>
        <w:tc>
          <w:tcPr>
            <w:tcW w:w="3260" w:type="dxa"/>
          </w:tcPr>
          <w:p w:rsidR="00926EF0" w:rsidRDefault="00926EF0" w:rsidP="00B06D8C">
            <w:pPr>
              <w:spacing w:before="60" w:after="60"/>
              <w:rPr>
                <w:rFonts w:cs="Arial"/>
              </w:rPr>
            </w:pPr>
            <w:r>
              <w:rPr>
                <w:rFonts w:cs="Arial"/>
              </w:rPr>
              <w:t>31.08.2021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30.09.2021</w:t>
            </w:r>
          </w:p>
        </w:tc>
        <w:tc>
          <w:tcPr>
            <w:tcW w:w="3260" w:type="dxa"/>
          </w:tcPr>
          <w:p w:rsidR="00926EF0" w:rsidRDefault="00926EF0" w:rsidP="00B06D8C">
            <w:pPr>
              <w:spacing w:before="60" w:after="60"/>
              <w:rPr>
                <w:rFonts w:cs="Arial"/>
              </w:rPr>
            </w:pPr>
            <w:r>
              <w:rPr>
                <w:rFonts w:cs="Arial"/>
              </w:rPr>
              <w:t>30.09.2021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31.10.2021</w:t>
            </w:r>
          </w:p>
        </w:tc>
        <w:tc>
          <w:tcPr>
            <w:tcW w:w="3260" w:type="dxa"/>
          </w:tcPr>
          <w:p w:rsidR="00926EF0" w:rsidRDefault="00926EF0" w:rsidP="00B06D8C">
            <w:pPr>
              <w:spacing w:before="60" w:after="60"/>
              <w:rPr>
                <w:rFonts w:cs="Arial"/>
              </w:rPr>
            </w:pPr>
            <w:r>
              <w:rPr>
                <w:rFonts w:cs="Arial"/>
              </w:rPr>
              <w:t>31.10.2021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30.11.2021</w:t>
            </w:r>
          </w:p>
        </w:tc>
        <w:tc>
          <w:tcPr>
            <w:tcW w:w="3260" w:type="dxa"/>
          </w:tcPr>
          <w:p w:rsidR="00926EF0" w:rsidRDefault="00926EF0" w:rsidP="00B06D8C">
            <w:pPr>
              <w:spacing w:before="60" w:after="60"/>
              <w:rPr>
                <w:rFonts w:cs="Arial"/>
              </w:rPr>
            </w:pPr>
            <w:r>
              <w:rPr>
                <w:rFonts w:cs="Arial"/>
              </w:rPr>
              <w:t>30.11.2021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31.12.2021</w:t>
            </w:r>
          </w:p>
        </w:tc>
        <w:tc>
          <w:tcPr>
            <w:tcW w:w="3260" w:type="dxa"/>
          </w:tcPr>
          <w:p w:rsidR="00926EF0" w:rsidRDefault="00926EF0" w:rsidP="00B06D8C">
            <w:pPr>
              <w:spacing w:before="60" w:after="60"/>
              <w:rPr>
                <w:rFonts w:cs="Arial"/>
              </w:rPr>
            </w:pPr>
            <w:r>
              <w:rPr>
                <w:rFonts w:cs="Arial"/>
              </w:rPr>
              <w:t>31.12.2021</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31.01.2022</w:t>
            </w:r>
          </w:p>
        </w:tc>
        <w:tc>
          <w:tcPr>
            <w:tcW w:w="3260" w:type="dxa"/>
          </w:tcPr>
          <w:p w:rsidR="00926EF0" w:rsidRDefault="00926EF0" w:rsidP="00B06D8C">
            <w:pPr>
              <w:spacing w:before="60" w:after="60"/>
              <w:rPr>
                <w:rFonts w:cs="Arial"/>
              </w:rPr>
            </w:pPr>
            <w:r>
              <w:rPr>
                <w:rFonts w:cs="Arial"/>
              </w:rPr>
              <w:t>31.01.2022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28.02.2022</w:t>
            </w:r>
          </w:p>
        </w:tc>
        <w:tc>
          <w:tcPr>
            <w:tcW w:w="3260" w:type="dxa"/>
          </w:tcPr>
          <w:p w:rsidR="00926EF0" w:rsidRDefault="00926EF0" w:rsidP="00B06D8C">
            <w:pPr>
              <w:spacing w:before="60" w:after="60"/>
              <w:rPr>
                <w:rFonts w:cs="Arial"/>
              </w:rPr>
            </w:pPr>
            <w:r>
              <w:rPr>
                <w:rFonts w:cs="Arial"/>
              </w:rPr>
              <w:t>28.02.2022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31.03.2022</w:t>
            </w:r>
          </w:p>
        </w:tc>
        <w:tc>
          <w:tcPr>
            <w:tcW w:w="3260" w:type="dxa"/>
          </w:tcPr>
          <w:p w:rsidR="00926EF0" w:rsidRDefault="00926EF0" w:rsidP="00B06D8C">
            <w:pPr>
              <w:spacing w:before="60" w:after="60"/>
              <w:rPr>
                <w:rFonts w:cs="Arial"/>
              </w:rPr>
            </w:pPr>
            <w:r>
              <w:rPr>
                <w:rFonts w:cs="Arial"/>
              </w:rPr>
              <w:t>31.03.2022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30.04.2022</w:t>
            </w:r>
          </w:p>
        </w:tc>
        <w:tc>
          <w:tcPr>
            <w:tcW w:w="3260" w:type="dxa"/>
          </w:tcPr>
          <w:p w:rsidR="00926EF0" w:rsidRDefault="00926EF0" w:rsidP="00B06D8C">
            <w:pPr>
              <w:spacing w:before="60" w:after="60"/>
              <w:rPr>
                <w:rFonts w:cs="Arial"/>
              </w:rPr>
            </w:pPr>
            <w:r>
              <w:rPr>
                <w:rFonts w:cs="Arial"/>
              </w:rPr>
              <w:t>30.04.2022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31.05.2022</w:t>
            </w:r>
          </w:p>
        </w:tc>
        <w:tc>
          <w:tcPr>
            <w:tcW w:w="3260" w:type="dxa"/>
          </w:tcPr>
          <w:p w:rsidR="00926EF0" w:rsidRDefault="00926EF0" w:rsidP="00B06D8C">
            <w:pPr>
              <w:spacing w:before="60" w:after="60"/>
              <w:rPr>
                <w:rFonts w:cs="Arial"/>
              </w:rPr>
            </w:pPr>
            <w:r>
              <w:rPr>
                <w:rFonts w:cs="Arial"/>
              </w:rPr>
              <w:t>31.05.2022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30.06.2022</w:t>
            </w:r>
          </w:p>
        </w:tc>
        <w:tc>
          <w:tcPr>
            <w:tcW w:w="3260" w:type="dxa"/>
          </w:tcPr>
          <w:p w:rsidR="00926EF0" w:rsidRDefault="00926EF0" w:rsidP="00B06D8C">
            <w:pPr>
              <w:spacing w:before="60" w:after="60"/>
              <w:rPr>
                <w:rFonts w:cs="Arial"/>
              </w:rPr>
            </w:pPr>
            <w:r>
              <w:rPr>
                <w:rFonts w:cs="Arial"/>
              </w:rPr>
              <w:t>30.06.2022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31.07.2022</w:t>
            </w:r>
          </w:p>
        </w:tc>
        <w:tc>
          <w:tcPr>
            <w:tcW w:w="3260" w:type="dxa"/>
          </w:tcPr>
          <w:p w:rsidR="00926EF0" w:rsidRDefault="00926EF0" w:rsidP="00B06D8C">
            <w:pPr>
              <w:spacing w:before="60" w:after="60"/>
              <w:rPr>
                <w:rFonts w:cs="Arial"/>
              </w:rPr>
            </w:pPr>
            <w:r>
              <w:rPr>
                <w:rFonts w:cs="Arial"/>
              </w:rPr>
              <w:t>31.07.2022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31.08.2022</w:t>
            </w:r>
          </w:p>
        </w:tc>
        <w:tc>
          <w:tcPr>
            <w:tcW w:w="3260" w:type="dxa"/>
          </w:tcPr>
          <w:p w:rsidR="00926EF0" w:rsidRDefault="00926EF0" w:rsidP="00B06D8C">
            <w:pPr>
              <w:spacing w:before="60" w:after="60"/>
              <w:rPr>
                <w:rFonts w:cs="Arial"/>
              </w:rPr>
            </w:pPr>
            <w:r>
              <w:rPr>
                <w:rFonts w:cs="Arial"/>
              </w:rPr>
              <w:t>31.08.2022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30.09.2022</w:t>
            </w:r>
          </w:p>
        </w:tc>
        <w:tc>
          <w:tcPr>
            <w:tcW w:w="3260" w:type="dxa"/>
          </w:tcPr>
          <w:p w:rsidR="00926EF0" w:rsidRDefault="00926EF0" w:rsidP="00B06D8C">
            <w:pPr>
              <w:spacing w:before="60" w:after="60"/>
              <w:rPr>
                <w:rFonts w:cs="Arial"/>
              </w:rPr>
            </w:pPr>
            <w:r>
              <w:rPr>
                <w:rFonts w:cs="Arial"/>
              </w:rPr>
              <w:t>30.09.2022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31.10.2022</w:t>
            </w:r>
          </w:p>
        </w:tc>
        <w:tc>
          <w:tcPr>
            <w:tcW w:w="3260" w:type="dxa"/>
          </w:tcPr>
          <w:p w:rsidR="00926EF0" w:rsidRDefault="00926EF0" w:rsidP="00B06D8C">
            <w:pPr>
              <w:spacing w:before="60" w:after="60"/>
              <w:rPr>
                <w:rFonts w:cs="Arial"/>
              </w:rPr>
            </w:pPr>
            <w:r>
              <w:rPr>
                <w:rFonts w:cs="Arial"/>
              </w:rPr>
              <w:t>31.10.2022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30.11.2022</w:t>
            </w:r>
          </w:p>
        </w:tc>
        <w:tc>
          <w:tcPr>
            <w:tcW w:w="3260" w:type="dxa"/>
          </w:tcPr>
          <w:p w:rsidR="00926EF0" w:rsidRDefault="00926EF0" w:rsidP="00B06D8C">
            <w:pPr>
              <w:spacing w:before="60" w:after="60"/>
              <w:rPr>
                <w:rFonts w:cs="Arial"/>
              </w:rPr>
            </w:pPr>
            <w:r>
              <w:rPr>
                <w:rFonts w:cs="Arial"/>
              </w:rPr>
              <w:t>30.11.2022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31.12.2022</w:t>
            </w:r>
          </w:p>
        </w:tc>
        <w:tc>
          <w:tcPr>
            <w:tcW w:w="3260" w:type="dxa"/>
          </w:tcPr>
          <w:p w:rsidR="00926EF0" w:rsidRDefault="00926EF0" w:rsidP="00B06D8C">
            <w:pPr>
              <w:spacing w:before="60" w:after="60"/>
              <w:rPr>
                <w:rFonts w:cs="Arial"/>
              </w:rPr>
            </w:pPr>
            <w:r>
              <w:rPr>
                <w:rFonts w:cs="Arial"/>
              </w:rPr>
              <w:t>31.12.2022</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31.01.2023</w:t>
            </w:r>
          </w:p>
        </w:tc>
        <w:tc>
          <w:tcPr>
            <w:tcW w:w="3260" w:type="dxa"/>
          </w:tcPr>
          <w:p w:rsidR="00926EF0" w:rsidRDefault="00926EF0" w:rsidP="00B06D8C">
            <w:pPr>
              <w:spacing w:before="60" w:after="60"/>
              <w:rPr>
                <w:rFonts w:cs="Arial"/>
              </w:rPr>
            </w:pPr>
            <w:r>
              <w:rPr>
                <w:rFonts w:cs="Arial"/>
              </w:rPr>
              <w:t>31.01.2023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28.02.2023</w:t>
            </w:r>
          </w:p>
        </w:tc>
        <w:tc>
          <w:tcPr>
            <w:tcW w:w="3260" w:type="dxa"/>
          </w:tcPr>
          <w:p w:rsidR="00926EF0" w:rsidRDefault="00926EF0" w:rsidP="00B06D8C">
            <w:pPr>
              <w:spacing w:before="60" w:after="60"/>
              <w:rPr>
                <w:rFonts w:cs="Arial"/>
              </w:rPr>
            </w:pPr>
            <w:r>
              <w:rPr>
                <w:rFonts w:cs="Arial"/>
              </w:rPr>
              <w:t>28.02.2023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31.03.2023</w:t>
            </w:r>
          </w:p>
        </w:tc>
        <w:tc>
          <w:tcPr>
            <w:tcW w:w="3260" w:type="dxa"/>
          </w:tcPr>
          <w:p w:rsidR="00926EF0" w:rsidRDefault="00926EF0" w:rsidP="00B06D8C">
            <w:pPr>
              <w:spacing w:before="60" w:after="60"/>
              <w:rPr>
                <w:rFonts w:cs="Arial"/>
              </w:rPr>
            </w:pPr>
            <w:r>
              <w:rPr>
                <w:rFonts w:cs="Arial"/>
              </w:rPr>
              <w:t>31.03.2023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30.04.2023</w:t>
            </w:r>
          </w:p>
        </w:tc>
        <w:tc>
          <w:tcPr>
            <w:tcW w:w="3260" w:type="dxa"/>
          </w:tcPr>
          <w:p w:rsidR="00926EF0" w:rsidRDefault="00926EF0" w:rsidP="00B06D8C">
            <w:pPr>
              <w:spacing w:before="60" w:after="60"/>
              <w:rPr>
                <w:rFonts w:cs="Arial"/>
              </w:rPr>
            </w:pPr>
            <w:r>
              <w:rPr>
                <w:rFonts w:cs="Arial"/>
              </w:rPr>
              <w:t>30.04.2023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31.05.2023</w:t>
            </w:r>
          </w:p>
        </w:tc>
        <w:tc>
          <w:tcPr>
            <w:tcW w:w="3260" w:type="dxa"/>
          </w:tcPr>
          <w:p w:rsidR="00926EF0" w:rsidRDefault="00926EF0" w:rsidP="00B06D8C">
            <w:pPr>
              <w:spacing w:before="60" w:after="60"/>
              <w:rPr>
                <w:rFonts w:cs="Arial"/>
              </w:rPr>
            </w:pPr>
            <w:r>
              <w:rPr>
                <w:rFonts w:cs="Arial"/>
              </w:rPr>
              <w:t>31.05.2023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30.06.2023</w:t>
            </w:r>
          </w:p>
        </w:tc>
        <w:tc>
          <w:tcPr>
            <w:tcW w:w="3260" w:type="dxa"/>
          </w:tcPr>
          <w:p w:rsidR="00926EF0" w:rsidRDefault="00926EF0" w:rsidP="00B06D8C">
            <w:pPr>
              <w:spacing w:before="60" w:after="60"/>
              <w:rPr>
                <w:rFonts w:cs="Arial"/>
              </w:rPr>
            </w:pPr>
            <w:r>
              <w:rPr>
                <w:rFonts w:cs="Arial"/>
              </w:rPr>
              <w:t>30.06.2023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31.07.2023</w:t>
            </w:r>
          </w:p>
        </w:tc>
        <w:tc>
          <w:tcPr>
            <w:tcW w:w="3260" w:type="dxa"/>
          </w:tcPr>
          <w:p w:rsidR="00926EF0" w:rsidRDefault="00926EF0" w:rsidP="00B06D8C">
            <w:pPr>
              <w:spacing w:before="60" w:after="60"/>
              <w:rPr>
                <w:rFonts w:cs="Arial"/>
              </w:rPr>
            </w:pPr>
            <w:r>
              <w:rPr>
                <w:rFonts w:cs="Arial"/>
              </w:rPr>
              <w:t>31.07.2023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31.08.2023</w:t>
            </w:r>
          </w:p>
        </w:tc>
        <w:tc>
          <w:tcPr>
            <w:tcW w:w="3260" w:type="dxa"/>
          </w:tcPr>
          <w:p w:rsidR="00926EF0" w:rsidRDefault="00926EF0" w:rsidP="00B06D8C">
            <w:pPr>
              <w:spacing w:before="60" w:after="60"/>
              <w:rPr>
                <w:rFonts w:cs="Arial"/>
              </w:rPr>
            </w:pPr>
            <w:r>
              <w:rPr>
                <w:rFonts w:cs="Arial"/>
              </w:rPr>
              <w:t>31.08.2023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lastRenderedPageBreak/>
              <w:t>30.09.2023</w:t>
            </w:r>
          </w:p>
        </w:tc>
        <w:tc>
          <w:tcPr>
            <w:tcW w:w="3260" w:type="dxa"/>
          </w:tcPr>
          <w:p w:rsidR="00926EF0" w:rsidRDefault="00926EF0" w:rsidP="00B06D8C">
            <w:pPr>
              <w:spacing w:before="60" w:after="60"/>
              <w:rPr>
                <w:rFonts w:cs="Arial"/>
              </w:rPr>
            </w:pPr>
            <w:r>
              <w:rPr>
                <w:rFonts w:cs="Arial"/>
              </w:rPr>
              <w:t>30.09.2023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31.10.2023</w:t>
            </w:r>
          </w:p>
        </w:tc>
        <w:tc>
          <w:tcPr>
            <w:tcW w:w="3260" w:type="dxa"/>
          </w:tcPr>
          <w:p w:rsidR="00926EF0" w:rsidRDefault="00926EF0" w:rsidP="00B06D8C">
            <w:pPr>
              <w:spacing w:before="60" w:after="60"/>
              <w:rPr>
                <w:rFonts w:cs="Arial"/>
              </w:rPr>
            </w:pPr>
            <w:r>
              <w:rPr>
                <w:rFonts w:cs="Arial"/>
              </w:rPr>
              <w:t>31.10.2023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30.11.2023</w:t>
            </w:r>
          </w:p>
        </w:tc>
        <w:tc>
          <w:tcPr>
            <w:tcW w:w="3260" w:type="dxa"/>
          </w:tcPr>
          <w:p w:rsidR="00926EF0" w:rsidRDefault="00926EF0" w:rsidP="00B06D8C">
            <w:pPr>
              <w:spacing w:before="60" w:after="60"/>
              <w:rPr>
                <w:rFonts w:cs="Arial"/>
              </w:rPr>
            </w:pPr>
            <w:r>
              <w:rPr>
                <w:rFonts w:cs="Arial"/>
              </w:rPr>
              <w:t>30.11.2023</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31.12.2023</w:t>
            </w:r>
          </w:p>
        </w:tc>
        <w:tc>
          <w:tcPr>
            <w:tcW w:w="3260" w:type="dxa"/>
          </w:tcPr>
          <w:p w:rsidR="00926EF0" w:rsidRDefault="00926EF0" w:rsidP="00B06D8C">
            <w:pPr>
              <w:spacing w:before="60" w:after="60"/>
              <w:rPr>
                <w:rFonts w:cs="Arial"/>
              </w:rPr>
            </w:pPr>
            <w:r>
              <w:rPr>
                <w:rFonts w:cs="Arial"/>
              </w:rPr>
              <w:t>31.12.2023</w:t>
            </w:r>
          </w:p>
        </w:tc>
        <w:tc>
          <w:tcPr>
            <w:tcW w:w="3260" w:type="dxa"/>
          </w:tcPr>
          <w:p w:rsidR="00926EF0" w:rsidRDefault="00926EF0" w:rsidP="00B06D8C">
            <w:pPr>
              <w:spacing w:before="60" w:after="60"/>
              <w:rPr>
                <w:rFonts w:cs="Arial"/>
              </w:rPr>
            </w:pPr>
            <w:r>
              <w:rPr>
                <w:rFonts w:cs="Arial"/>
              </w:rPr>
              <w:t xml:space="preserve">84 034,00 </w:t>
            </w:r>
          </w:p>
        </w:tc>
      </w:tr>
      <w:tr w:rsidR="00926EF0" w:rsidRPr="00B06D8C" w:rsidTr="00B06D8C">
        <w:tc>
          <w:tcPr>
            <w:tcW w:w="3259" w:type="dxa"/>
          </w:tcPr>
          <w:p w:rsidR="00926EF0" w:rsidRDefault="00926EF0" w:rsidP="00926EF0">
            <w:pPr>
              <w:spacing w:before="60" w:after="60"/>
              <w:rPr>
                <w:rFonts w:cs="Arial"/>
              </w:rPr>
            </w:pPr>
            <w:r>
              <w:rPr>
                <w:rFonts w:cs="Arial"/>
              </w:rPr>
              <w:t>31.01.2024</w:t>
            </w:r>
          </w:p>
        </w:tc>
        <w:tc>
          <w:tcPr>
            <w:tcW w:w="3260" w:type="dxa"/>
          </w:tcPr>
          <w:p w:rsidR="00926EF0" w:rsidRDefault="00926EF0" w:rsidP="00B06D8C">
            <w:pPr>
              <w:spacing w:before="60" w:after="60"/>
              <w:rPr>
                <w:rFonts w:cs="Arial"/>
              </w:rPr>
            </w:pPr>
            <w:r>
              <w:rPr>
                <w:rFonts w:cs="Arial"/>
              </w:rPr>
              <w:t>31.01.2024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E227D7">
            <w:pPr>
              <w:spacing w:before="60" w:after="60"/>
              <w:rPr>
                <w:rFonts w:cs="Arial"/>
              </w:rPr>
            </w:pPr>
            <w:r>
              <w:rPr>
                <w:rFonts w:cs="Arial"/>
              </w:rPr>
              <w:t>2</w:t>
            </w:r>
            <w:r w:rsidR="00E227D7">
              <w:rPr>
                <w:rFonts w:cs="Arial"/>
              </w:rPr>
              <w:t>9</w:t>
            </w:r>
            <w:r>
              <w:rPr>
                <w:rFonts w:cs="Arial"/>
              </w:rPr>
              <w:t>.02.2024</w:t>
            </w:r>
          </w:p>
        </w:tc>
        <w:tc>
          <w:tcPr>
            <w:tcW w:w="3260" w:type="dxa"/>
          </w:tcPr>
          <w:p w:rsidR="00926EF0" w:rsidRDefault="00926EF0" w:rsidP="00E227D7">
            <w:pPr>
              <w:spacing w:before="60" w:after="60"/>
              <w:rPr>
                <w:rFonts w:cs="Arial"/>
              </w:rPr>
            </w:pPr>
            <w:r>
              <w:rPr>
                <w:rFonts w:cs="Arial"/>
              </w:rPr>
              <w:t>2</w:t>
            </w:r>
            <w:r w:rsidR="00E227D7">
              <w:rPr>
                <w:rFonts w:cs="Arial"/>
              </w:rPr>
              <w:t>9</w:t>
            </w:r>
            <w:r>
              <w:rPr>
                <w:rFonts w:cs="Arial"/>
              </w:rPr>
              <w:t>.02.2024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31.03.2024</w:t>
            </w:r>
          </w:p>
        </w:tc>
        <w:tc>
          <w:tcPr>
            <w:tcW w:w="3260" w:type="dxa"/>
          </w:tcPr>
          <w:p w:rsidR="00926EF0" w:rsidRDefault="00926EF0" w:rsidP="00B06D8C">
            <w:pPr>
              <w:spacing w:before="60" w:after="60"/>
              <w:rPr>
                <w:rFonts w:cs="Arial"/>
              </w:rPr>
            </w:pPr>
            <w:r>
              <w:rPr>
                <w:rFonts w:cs="Arial"/>
              </w:rPr>
              <w:t>31.03.2024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30.04.2024</w:t>
            </w:r>
          </w:p>
        </w:tc>
        <w:tc>
          <w:tcPr>
            <w:tcW w:w="3260" w:type="dxa"/>
          </w:tcPr>
          <w:p w:rsidR="00926EF0" w:rsidRDefault="00926EF0" w:rsidP="00B06D8C">
            <w:pPr>
              <w:spacing w:before="60" w:after="60"/>
              <w:rPr>
                <w:rFonts w:cs="Arial"/>
              </w:rPr>
            </w:pPr>
            <w:r>
              <w:rPr>
                <w:rFonts w:cs="Arial"/>
              </w:rPr>
              <w:t>30.04.2024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31.05.2024</w:t>
            </w:r>
          </w:p>
        </w:tc>
        <w:tc>
          <w:tcPr>
            <w:tcW w:w="3260" w:type="dxa"/>
          </w:tcPr>
          <w:p w:rsidR="00926EF0" w:rsidRDefault="00926EF0" w:rsidP="00B06D8C">
            <w:pPr>
              <w:spacing w:before="60" w:after="60"/>
              <w:rPr>
                <w:rFonts w:cs="Arial"/>
              </w:rPr>
            </w:pPr>
            <w:r>
              <w:rPr>
                <w:rFonts w:cs="Arial"/>
              </w:rPr>
              <w:t>31.05.2024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30.06.2024</w:t>
            </w:r>
          </w:p>
        </w:tc>
        <w:tc>
          <w:tcPr>
            <w:tcW w:w="3260" w:type="dxa"/>
          </w:tcPr>
          <w:p w:rsidR="00926EF0" w:rsidRDefault="00926EF0" w:rsidP="00B06D8C">
            <w:pPr>
              <w:spacing w:before="60" w:after="60"/>
              <w:rPr>
                <w:rFonts w:cs="Arial"/>
              </w:rPr>
            </w:pPr>
            <w:r>
              <w:rPr>
                <w:rFonts w:cs="Arial"/>
              </w:rPr>
              <w:t>30.06.2024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31.07.2024</w:t>
            </w:r>
          </w:p>
        </w:tc>
        <w:tc>
          <w:tcPr>
            <w:tcW w:w="3260" w:type="dxa"/>
          </w:tcPr>
          <w:p w:rsidR="00926EF0" w:rsidRDefault="00926EF0" w:rsidP="00B06D8C">
            <w:pPr>
              <w:spacing w:before="60" w:after="60"/>
              <w:rPr>
                <w:rFonts w:cs="Arial"/>
              </w:rPr>
            </w:pPr>
            <w:r>
              <w:rPr>
                <w:rFonts w:cs="Arial"/>
              </w:rPr>
              <w:t>31.07.2024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31.08.2024</w:t>
            </w:r>
          </w:p>
        </w:tc>
        <w:tc>
          <w:tcPr>
            <w:tcW w:w="3260" w:type="dxa"/>
          </w:tcPr>
          <w:p w:rsidR="00926EF0" w:rsidRDefault="00926EF0" w:rsidP="00B06D8C">
            <w:pPr>
              <w:spacing w:before="60" w:after="60"/>
              <w:rPr>
                <w:rFonts w:cs="Arial"/>
              </w:rPr>
            </w:pPr>
            <w:r>
              <w:rPr>
                <w:rFonts w:cs="Arial"/>
              </w:rPr>
              <w:t>31.08.2024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30.09.2024</w:t>
            </w:r>
          </w:p>
        </w:tc>
        <w:tc>
          <w:tcPr>
            <w:tcW w:w="3260" w:type="dxa"/>
          </w:tcPr>
          <w:p w:rsidR="00926EF0" w:rsidRDefault="00926EF0" w:rsidP="00B06D8C">
            <w:pPr>
              <w:spacing w:before="60" w:after="60"/>
              <w:rPr>
                <w:rFonts w:cs="Arial"/>
              </w:rPr>
            </w:pPr>
            <w:r>
              <w:rPr>
                <w:rFonts w:cs="Arial"/>
              </w:rPr>
              <w:t>30.09.2024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31.10.2024</w:t>
            </w:r>
          </w:p>
        </w:tc>
        <w:tc>
          <w:tcPr>
            <w:tcW w:w="3260" w:type="dxa"/>
          </w:tcPr>
          <w:p w:rsidR="00926EF0" w:rsidRDefault="00926EF0" w:rsidP="00B06D8C">
            <w:pPr>
              <w:spacing w:before="60" w:after="60"/>
              <w:rPr>
                <w:rFonts w:cs="Arial"/>
              </w:rPr>
            </w:pPr>
            <w:r>
              <w:rPr>
                <w:rFonts w:cs="Arial"/>
              </w:rPr>
              <w:t>31.10.2024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30.11.2024</w:t>
            </w:r>
          </w:p>
        </w:tc>
        <w:tc>
          <w:tcPr>
            <w:tcW w:w="3260" w:type="dxa"/>
          </w:tcPr>
          <w:p w:rsidR="00926EF0" w:rsidRDefault="00926EF0" w:rsidP="00B06D8C">
            <w:pPr>
              <w:spacing w:before="60" w:after="60"/>
              <w:rPr>
                <w:rFonts w:cs="Arial"/>
              </w:rPr>
            </w:pPr>
            <w:r>
              <w:rPr>
                <w:rFonts w:cs="Arial"/>
              </w:rPr>
              <w:t>30.11.2024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31.12.2024</w:t>
            </w:r>
          </w:p>
        </w:tc>
        <w:tc>
          <w:tcPr>
            <w:tcW w:w="3260" w:type="dxa"/>
          </w:tcPr>
          <w:p w:rsidR="00926EF0" w:rsidRDefault="00926EF0" w:rsidP="00B06D8C">
            <w:pPr>
              <w:spacing w:before="60" w:after="60"/>
              <w:rPr>
                <w:rFonts w:cs="Arial"/>
              </w:rPr>
            </w:pPr>
            <w:r>
              <w:rPr>
                <w:rFonts w:cs="Arial"/>
              </w:rPr>
              <w:t>31.12.2024</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31.01.2025</w:t>
            </w:r>
          </w:p>
        </w:tc>
        <w:tc>
          <w:tcPr>
            <w:tcW w:w="3260" w:type="dxa"/>
          </w:tcPr>
          <w:p w:rsidR="00926EF0" w:rsidRDefault="00926EF0" w:rsidP="00B06D8C">
            <w:pPr>
              <w:spacing w:before="60" w:after="60"/>
              <w:rPr>
                <w:rFonts w:cs="Arial"/>
              </w:rPr>
            </w:pPr>
            <w:r>
              <w:rPr>
                <w:rFonts w:cs="Arial"/>
              </w:rPr>
              <w:t>31.01.2025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28.02.2025</w:t>
            </w:r>
          </w:p>
        </w:tc>
        <w:tc>
          <w:tcPr>
            <w:tcW w:w="3260" w:type="dxa"/>
          </w:tcPr>
          <w:p w:rsidR="00926EF0" w:rsidRDefault="00926EF0" w:rsidP="00B06D8C">
            <w:pPr>
              <w:spacing w:before="60" w:after="60"/>
              <w:rPr>
                <w:rFonts w:cs="Arial"/>
              </w:rPr>
            </w:pPr>
            <w:r>
              <w:rPr>
                <w:rFonts w:cs="Arial"/>
              </w:rPr>
              <w:t>28.02.2025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31.03.2025</w:t>
            </w:r>
          </w:p>
        </w:tc>
        <w:tc>
          <w:tcPr>
            <w:tcW w:w="3260" w:type="dxa"/>
          </w:tcPr>
          <w:p w:rsidR="00926EF0" w:rsidRDefault="00926EF0" w:rsidP="00B06D8C">
            <w:pPr>
              <w:spacing w:before="60" w:after="60"/>
              <w:rPr>
                <w:rFonts w:cs="Arial"/>
              </w:rPr>
            </w:pPr>
            <w:r>
              <w:rPr>
                <w:rFonts w:cs="Arial"/>
              </w:rPr>
              <w:t>31.03.2025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30.04.2025</w:t>
            </w:r>
          </w:p>
        </w:tc>
        <w:tc>
          <w:tcPr>
            <w:tcW w:w="3260" w:type="dxa"/>
          </w:tcPr>
          <w:p w:rsidR="00926EF0" w:rsidRDefault="00926EF0" w:rsidP="00B06D8C">
            <w:pPr>
              <w:spacing w:before="60" w:after="60"/>
              <w:rPr>
                <w:rFonts w:cs="Arial"/>
              </w:rPr>
            </w:pPr>
            <w:r>
              <w:rPr>
                <w:rFonts w:cs="Arial"/>
              </w:rPr>
              <w:t>30.04.2025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31.05.2025</w:t>
            </w:r>
          </w:p>
        </w:tc>
        <w:tc>
          <w:tcPr>
            <w:tcW w:w="3260" w:type="dxa"/>
          </w:tcPr>
          <w:p w:rsidR="00926EF0" w:rsidRDefault="00926EF0" w:rsidP="00B06D8C">
            <w:pPr>
              <w:spacing w:before="60" w:after="60"/>
              <w:rPr>
                <w:rFonts w:cs="Arial"/>
              </w:rPr>
            </w:pPr>
            <w:r>
              <w:rPr>
                <w:rFonts w:cs="Arial"/>
              </w:rPr>
              <w:t>31.05.2025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30.06.2025</w:t>
            </w:r>
          </w:p>
        </w:tc>
        <w:tc>
          <w:tcPr>
            <w:tcW w:w="3260" w:type="dxa"/>
          </w:tcPr>
          <w:p w:rsidR="00926EF0" w:rsidRDefault="00926EF0" w:rsidP="00B06D8C">
            <w:pPr>
              <w:spacing w:before="60" w:after="60"/>
              <w:rPr>
                <w:rFonts w:cs="Arial"/>
              </w:rPr>
            </w:pPr>
            <w:r>
              <w:rPr>
                <w:rFonts w:cs="Arial"/>
              </w:rPr>
              <w:t>30.06.2025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31.07.2025</w:t>
            </w:r>
          </w:p>
        </w:tc>
        <w:tc>
          <w:tcPr>
            <w:tcW w:w="3260" w:type="dxa"/>
          </w:tcPr>
          <w:p w:rsidR="00926EF0" w:rsidRDefault="00926EF0" w:rsidP="00B06D8C">
            <w:pPr>
              <w:spacing w:before="60" w:after="60"/>
              <w:rPr>
                <w:rFonts w:cs="Arial"/>
              </w:rPr>
            </w:pPr>
            <w:r>
              <w:rPr>
                <w:rFonts w:cs="Arial"/>
              </w:rPr>
              <w:t>31.07.2025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31.08.2025</w:t>
            </w:r>
          </w:p>
        </w:tc>
        <w:tc>
          <w:tcPr>
            <w:tcW w:w="3260" w:type="dxa"/>
          </w:tcPr>
          <w:p w:rsidR="00926EF0" w:rsidRDefault="00926EF0" w:rsidP="00B06D8C">
            <w:pPr>
              <w:spacing w:before="60" w:after="60"/>
              <w:rPr>
                <w:rFonts w:cs="Arial"/>
              </w:rPr>
            </w:pPr>
            <w:r>
              <w:rPr>
                <w:rFonts w:cs="Arial"/>
              </w:rPr>
              <w:t>31.08.2025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30.09.2025</w:t>
            </w:r>
          </w:p>
        </w:tc>
        <w:tc>
          <w:tcPr>
            <w:tcW w:w="3260" w:type="dxa"/>
          </w:tcPr>
          <w:p w:rsidR="00926EF0" w:rsidRDefault="00926EF0" w:rsidP="00B06D8C">
            <w:pPr>
              <w:spacing w:before="60" w:after="60"/>
              <w:rPr>
                <w:rFonts w:cs="Arial"/>
              </w:rPr>
            </w:pPr>
            <w:r>
              <w:rPr>
                <w:rFonts w:cs="Arial"/>
              </w:rPr>
              <w:t>30.09.2025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31.10.2025</w:t>
            </w:r>
          </w:p>
        </w:tc>
        <w:tc>
          <w:tcPr>
            <w:tcW w:w="3260" w:type="dxa"/>
          </w:tcPr>
          <w:p w:rsidR="00926EF0" w:rsidRDefault="00926EF0" w:rsidP="00B06D8C">
            <w:pPr>
              <w:spacing w:before="60" w:after="60"/>
              <w:rPr>
                <w:rFonts w:cs="Arial"/>
              </w:rPr>
            </w:pPr>
            <w:r>
              <w:rPr>
                <w:rFonts w:cs="Arial"/>
              </w:rPr>
              <w:t>31.10.2025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30.11.2025</w:t>
            </w:r>
          </w:p>
        </w:tc>
        <w:tc>
          <w:tcPr>
            <w:tcW w:w="3260" w:type="dxa"/>
          </w:tcPr>
          <w:p w:rsidR="00926EF0" w:rsidRDefault="00926EF0" w:rsidP="00B06D8C">
            <w:pPr>
              <w:spacing w:before="60" w:after="60"/>
              <w:rPr>
                <w:rFonts w:cs="Arial"/>
              </w:rPr>
            </w:pPr>
            <w:r>
              <w:rPr>
                <w:rFonts w:cs="Arial"/>
              </w:rPr>
              <w:t>30.11.2025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31.12.2025</w:t>
            </w:r>
          </w:p>
        </w:tc>
        <w:tc>
          <w:tcPr>
            <w:tcW w:w="3260" w:type="dxa"/>
          </w:tcPr>
          <w:p w:rsidR="00926EF0" w:rsidRDefault="00926EF0" w:rsidP="00B06D8C">
            <w:pPr>
              <w:spacing w:before="60" w:after="60"/>
              <w:rPr>
                <w:rFonts w:cs="Arial"/>
              </w:rPr>
            </w:pPr>
            <w:r>
              <w:rPr>
                <w:rFonts w:cs="Arial"/>
              </w:rPr>
              <w:t>31.12.2025</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31.01.2026</w:t>
            </w:r>
          </w:p>
        </w:tc>
        <w:tc>
          <w:tcPr>
            <w:tcW w:w="3260" w:type="dxa"/>
          </w:tcPr>
          <w:p w:rsidR="00926EF0" w:rsidRDefault="00926EF0" w:rsidP="00B06D8C">
            <w:pPr>
              <w:spacing w:before="60" w:after="60"/>
              <w:rPr>
                <w:rFonts w:cs="Arial"/>
              </w:rPr>
            </w:pPr>
            <w:r>
              <w:rPr>
                <w:rFonts w:cs="Arial"/>
              </w:rPr>
              <w:t>31.01.2026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28.02.2026</w:t>
            </w:r>
          </w:p>
        </w:tc>
        <w:tc>
          <w:tcPr>
            <w:tcW w:w="3260" w:type="dxa"/>
          </w:tcPr>
          <w:p w:rsidR="00926EF0" w:rsidRDefault="00926EF0" w:rsidP="00B06D8C">
            <w:pPr>
              <w:spacing w:before="60" w:after="60"/>
              <w:rPr>
                <w:rFonts w:cs="Arial"/>
              </w:rPr>
            </w:pPr>
            <w:r>
              <w:rPr>
                <w:rFonts w:cs="Arial"/>
              </w:rPr>
              <w:t>28.02.2028</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31.03.2026</w:t>
            </w:r>
          </w:p>
        </w:tc>
        <w:tc>
          <w:tcPr>
            <w:tcW w:w="3260" w:type="dxa"/>
          </w:tcPr>
          <w:p w:rsidR="00926EF0" w:rsidRDefault="00926EF0" w:rsidP="00B06D8C">
            <w:pPr>
              <w:spacing w:before="60" w:after="60"/>
              <w:rPr>
                <w:rFonts w:cs="Arial"/>
              </w:rPr>
            </w:pPr>
            <w:r>
              <w:rPr>
                <w:rFonts w:cs="Arial"/>
              </w:rPr>
              <w:t>31.03.2026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30.04.2026</w:t>
            </w:r>
          </w:p>
        </w:tc>
        <w:tc>
          <w:tcPr>
            <w:tcW w:w="3260" w:type="dxa"/>
          </w:tcPr>
          <w:p w:rsidR="00926EF0" w:rsidRDefault="00926EF0" w:rsidP="00B06D8C">
            <w:pPr>
              <w:spacing w:before="60" w:after="60"/>
              <w:rPr>
                <w:rFonts w:cs="Arial"/>
              </w:rPr>
            </w:pPr>
            <w:r>
              <w:rPr>
                <w:rFonts w:cs="Arial"/>
              </w:rPr>
              <w:t>30.04.2026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31.05.2026</w:t>
            </w:r>
          </w:p>
        </w:tc>
        <w:tc>
          <w:tcPr>
            <w:tcW w:w="3260" w:type="dxa"/>
          </w:tcPr>
          <w:p w:rsidR="00926EF0" w:rsidRDefault="00926EF0" w:rsidP="00B06D8C">
            <w:pPr>
              <w:spacing w:before="60" w:after="60"/>
              <w:rPr>
                <w:rFonts w:cs="Arial"/>
              </w:rPr>
            </w:pPr>
            <w:r>
              <w:rPr>
                <w:rFonts w:cs="Arial"/>
              </w:rPr>
              <w:t>31.05.2026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30.06.2026</w:t>
            </w:r>
          </w:p>
        </w:tc>
        <w:tc>
          <w:tcPr>
            <w:tcW w:w="3260" w:type="dxa"/>
          </w:tcPr>
          <w:p w:rsidR="00926EF0" w:rsidRDefault="00926EF0" w:rsidP="00B06D8C">
            <w:pPr>
              <w:spacing w:before="60" w:after="60"/>
              <w:rPr>
                <w:rFonts w:cs="Arial"/>
              </w:rPr>
            </w:pPr>
            <w:r>
              <w:rPr>
                <w:rFonts w:cs="Arial"/>
              </w:rPr>
              <w:t>30.06.2026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31.07.2026</w:t>
            </w:r>
          </w:p>
        </w:tc>
        <w:tc>
          <w:tcPr>
            <w:tcW w:w="3260" w:type="dxa"/>
          </w:tcPr>
          <w:p w:rsidR="00926EF0" w:rsidRDefault="00926EF0" w:rsidP="00B06D8C">
            <w:pPr>
              <w:spacing w:before="60" w:after="60"/>
              <w:rPr>
                <w:rFonts w:cs="Arial"/>
              </w:rPr>
            </w:pPr>
            <w:r>
              <w:rPr>
                <w:rFonts w:cs="Arial"/>
              </w:rPr>
              <w:t>31.07.2026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31.08.2026</w:t>
            </w:r>
          </w:p>
        </w:tc>
        <w:tc>
          <w:tcPr>
            <w:tcW w:w="3260" w:type="dxa"/>
          </w:tcPr>
          <w:p w:rsidR="00926EF0" w:rsidRDefault="00926EF0" w:rsidP="00B06D8C">
            <w:pPr>
              <w:spacing w:before="60" w:after="60"/>
              <w:rPr>
                <w:rFonts w:cs="Arial"/>
              </w:rPr>
            </w:pPr>
            <w:r>
              <w:rPr>
                <w:rFonts w:cs="Arial"/>
              </w:rPr>
              <w:t>31.08.2026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30.09.2026</w:t>
            </w:r>
          </w:p>
        </w:tc>
        <w:tc>
          <w:tcPr>
            <w:tcW w:w="3260" w:type="dxa"/>
          </w:tcPr>
          <w:p w:rsidR="00926EF0" w:rsidRDefault="00926EF0" w:rsidP="00B06D8C">
            <w:pPr>
              <w:spacing w:before="60" w:after="60"/>
              <w:rPr>
                <w:rFonts w:cs="Arial"/>
              </w:rPr>
            </w:pPr>
            <w:r>
              <w:rPr>
                <w:rFonts w:cs="Arial"/>
              </w:rPr>
              <w:t>30.09.2026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31.10.2026</w:t>
            </w:r>
          </w:p>
        </w:tc>
        <w:tc>
          <w:tcPr>
            <w:tcW w:w="3260" w:type="dxa"/>
          </w:tcPr>
          <w:p w:rsidR="00926EF0" w:rsidRDefault="00926EF0" w:rsidP="00B06D8C">
            <w:pPr>
              <w:spacing w:before="60" w:after="60"/>
              <w:rPr>
                <w:rFonts w:cs="Arial"/>
              </w:rPr>
            </w:pPr>
            <w:r>
              <w:rPr>
                <w:rFonts w:cs="Arial"/>
              </w:rPr>
              <w:t>31.10.2026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30.11.2026</w:t>
            </w:r>
          </w:p>
        </w:tc>
        <w:tc>
          <w:tcPr>
            <w:tcW w:w="3260" w:type="dxa"/>
          </w:tcPr>
          <w:p w:rsidR="00926EF0" w:rsidRDefault="00926EF0" w:rsidP="00B06D8C">
            <w:pPr>
              <w:spacing w:before="60" w:after="60"/>
              <w:rPr>
                <w:rFonts w:cs="Arial"/>
              </w:rPr>
            </w:pPr>
            <w:r>
              <w:rPr>
                <w:rFonts w:cs="Arial"/>
              </w:rPr>
              <w:t>30.11.2026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31.12.2026</w:t>
            </w:r>
          </w:p>
        </w:tc>
        <w:tc>
          <w:tcPr>
            <w:tcW w:w="3260" w:type="dxa"/>
          </w:tcPr>
          <w:p w:rsidR="00926EF0" w:rsidRDefault="00926EF0" w:rsidP="00B06D8C">
            <w:pPr>
              <w:spacing w:before="60" w:after="60"/>
              <w:rPr>
                <w:rFonts w:cs="Arial"/>
              </w:rPr>
            </w:pPr>
            <w:r>
              <w:rPr>
                <w:rFonts w:cs="Arial"/>
              </w:rPr>
              <w:t>31.12.2026</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lastRenderedPageBreak/>
              <w:t>31.01.2027</w:t>
            </w:r>
          </w:p>
        </w:tc>
        <w:tc>
          <w:tcPr>
            <w:tcW w:w="3260" w:type="dxa"/>
          </w:tcPr>
          <w:p w:rsidR="00926EF0" w:rsidRDefault="00926EF0" w:rsidP="00B06D8C">
            <w:pPr>
              <w:spacing w:before="60" w:after="60"/>
              <w:rPr>
                <w:rFonts w:cs="Arial"/>
              </w:rPr>
            </w:pPr>
            <w:r>
              <w:rPr>
                <w:rFonts w:cs="Arial"/>
              </w:rPr>
              <w:t>31.01.2027</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28.02.2027</w:t>
            </w:r>
          </w:p>
        </w:tc>
        <w:tc>
          <w:tcPr>
            <w:tcW w:w="3260" w:type="dxa"/>
          </w:tcPr>
          <w:p w:rsidR="00926EF0" w:rsidRDefault="00926EF0" w:rsidP="00B06D8C">
            <w:pPr>
              <w:spacing w:before="60" w:after="60"/>
              <w:rPr>
                <w:rFonts w:cs="Arial"/>
              </w:rPr>
            </w:pPr>
            <w:r>
              <w:rPr>
                <w:rFonts w:cs="Arial"/>
              </w:rPr>
              <w:t>28.02.2027</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31.03.2027</w:t>
            </w:r>
          </w:p>
        </w:tc>
        <w:tc>
          <w:tcPr>
            <w:tcW w:w="3260" w:type="dxa"/>
          </w:tcPr>
          <w:p w:rsidR="00926EF0" w:rsidRDefault="00926EF0" w:rsidP="00B06D8C">
            <w:pPr>
              <w:spacing w:before="60" w:after="60"/>
              <w:rPr>
                <w:rFonts w:cs="Arial"/>
              </w:rPr>
            </w:pPr>
            <w:r>
              <w:rPr>
                <w:rFonts w:cs="Arial"/>
              </w:rPr>
              <w:t>31.03.2027</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30.04.2027</w:t>
            </w:r>
          </w:p>
        </w:tc>
        <w:tc>
          <w:tcPr>
            <w:tcW w:w="3260" w:type="dxa"/>
          </w:tcPr>
          <w:p w:rsidR="00926EF0" w:rsidRDefault="00926EF0" w:rsidP="00B06D8C">
            <w:pPr>
              <w:spacing w:before="60" w:after="60"/>
              <w:rPr>
                <w:rFonts w:cs="Arial"/>
              </w:rPr>
            </w:pPr>
            <w:r>
              <w:rPr>
                <w:rFonts w:cs="Arial"/>
              </w:rPr>
              <w:t>30.04.2027</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31.05.2027</w:t>
            </w:r>
          </w:p>
        </w:tc>
        <w:tc>
          <w:tcPr>
            <w:tcW w:w="3260" w:type="dxa"/>
          </w:tcPr>
          <w:p w:rsidR="00926EF0" w:rsidRDefault="00926EF0" w:rsidP="00B06D8C">
            <w:pPr>
              <w:spacing w:before="60" w:after="60"/>
              <w:rPr>
                <w:rFonts w:cs="Arial"/>
              </w:rPr>
            </w:pPr>
            <w:r>
              <w:rPr>
                <w:rFonts w:cs="Arial"/>
              </w:rPr>
              <w:t>31.05.2027</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30.06.2027</w:t>
            </w:r>
          </w:p>
        </w:tc>
        <w:tc>
          <w:tcPr>
            <w:tcW w:w="3260" w:type="dxa"/>
          </w:tcPr>
          <w:p w:rsidR="00926EF0" w:rsidRDefault="00926EF0" w:rsidP="00B06D8C">
            <w:pPr>
              <w:spacing w:before="60" w:after="60"/>
              <w:rPr>
                <w:rFonts w:cs="Arial"/>
              </w:rPr>
            </w:pPr>
            <w:r>
              <w:rPr>
                <w:rFonts w:cs="Arial"/>
              </w:rPr>
              <w:t>30.06.2027</w:t>
            </w:r>
          </w:p>
        </w:tc>
        <w:tc>
          <w:tcPr>
            <w:tcW w:w="3260" w:type="dxa"/>
          </w:tcPr>
          <w:p w:rsidR="00926EF0" w:rsidRDefault="00926EF0" w:rsidP="00B06D8C">
            <w:pPr>
              <w:spacing w:before="60" w:after="60"/>
              <w:rPr>
                <w:rFonts w:cs="Arial"/>
              </w:rPr>
            </w:pPr>
            <w:r>
              <w:rPr>
                <w:rFonts w:cs="Arial"/>
              </w:rPr>
              <w:t>84 034,00</w:t>
            </w:r>
          </w:p>
        </w:tc>
      </w:tr>
      <w:tr w:rsidR="00926EF0" w:rsidRPr="00B06D8C" w:rsidTr="00B06D8C">
        <w:tc>
          <w:tcPr>
            <w:tcW w:w="3259" w:type="dxa"/>
          </w:tcPr>
          <w:p w:rsidR="00926EF0" w:rsidRDefault="00926EF0" w:rsidP="00926EF0">
            <w:pPr>
              <w:spacing w:before="60" w:after="60"/>
              <w:rPr>
                <w:rFonts w:cs="Arial"/>
              </w:rPr>
            </w:pPr>
            <w:r>
              <w:rPr>
                <w:rFonts w:cs="Arial"/>
              </w:rPr>
              <w:t>31.07.2027</w:t>
            </w:r>
          </w:p>
        </w:tc>
        <w:tc>
          <w:tcPr>
            <w:tcW w:w="3260" w:type="dxa"/>
          </w:tcPr>
          <w:p w:rsidR="00926EF0" w:rsidRDefault="00926EF0" w:rsidP="00B06D8C">
            <w:pPr>
              <w:spacing w:before="60" w:after="60"/>
              <w:rPr>
                <w:rFonts w:cs="Arial"/>
              </w:rPr>
            </w:pPr>
            <w:r>
              <w:rPr>
                <w:rFonts w:cs="Arial"/>
              </w:rPr>
              <w:t>31.07.2027</w:t>
            </w:r>
          </w:p>
        </w:tc>
        <w:tc>
          <w:tcPr>
            <w:tcW w:w="3260" w:type="dxa"/>
          </w:tcPr>
          <w:p w:rsidR="00926EF0" w:rsidRDefault="00926EF0" w:rsidP="00B06D8C">
            <w:pPr>
              <w:spacing w:before="60" w:after="60"/>
              <w:rPr>
                <w:rFonts w:cs="Arial"/>
              </w:rPr>
            </w:pPr>
            <w:r>
              <w:rPr>
                <w:rFonts w:cs="Arial"/>
              </w:rPr>
              <w:t>83 988,00</w:t>
            </w:r>
          </w:p>
        </w:tc>
      </w:tr>
    </w:tbl>
    <w:p w:rsidR="0001716D" w:rsidRPr="008C4B06" w:rsidRDefault="0001716D" w:rsidP="00A547CD">
      <w:pPr>
        <w:rPr>
          <w:rFonts w:cs="Arial"/>
        </w:rPr>
      </w:pPr>
    </w:p>
    <w:p w:rsidR="0001716D" w:rsidRPr="008C4B06" w:rsidRDefault="0001716D" w:rsidP="00A547CD">
      <w:pPr>
        <w:rPr>
          <w:rFonts w:cs="Arial"/>
          <w:color w:val="000000"/>
          <w:spacing w:val="-2"/>
        </w:rPr>
      </w:pPr>
      <w:r w:rsidRPr="008C4B06">
        <w:rPr>
          <w:rFonts w:cs="Arial"/>
        </w:rPr>
        <w:t>Pokud</w:t>
      </w:r>
      <w:r w:rsidR="003200C1" w:rsidRPr="008C4B06">
        <w:rPr>
          <w:rFonts w:cs="Arial"/>
        </w:rPr>
        <w:t xml:space="preserve"> v období, ve kterém se uplatňuje Strukturovaná sazba,</w:t>
      </w:r>
      <w:r w:rsidRPr="008C4B06">
        <w:rPr>
          <w:rFonts w:cs="Arial"/>
        </w:rPr>
        <w:t xml:space="preserve"> jakýkoli Den splatnosti úroku z jistiny Úvěru nebo jistiny Úvěru, uvedený v tomto Splátkovém plánu, není Pracovním dnem, rozumí se, že úhrada bude provedena </w:t>
      </w:r>
      <w:r w:rsidRPr="008C4B06">
        <w:rPr>
          <w:rFonts w:cs="Arial"/>
          <w:color w:val="000000"/>
          <w:spacing w:val="-2"/>
        </w:rPr>
        <w:t>bezprostředně následující Pracovní den</w:t>
      </w:r>
      <w:r w:rsidR="003200C1" w:rsidRPr="008C4B06">
        <w:rPr>
          <w:rFonts w:cs="Arial"/>
          <w:color w:val="000000"/>
          <w:spacing w:val="-2"/>
        </w:rPr>
        <w:t>, pokud však takový den nespadá do dalšího kalendářního měsíce – v takovém případě bude úhrada provedena v bezprostředně předcházející Pracovní den</w:t>
      </w:r>
      <w:r w:rsidRPr="008C4B06">
        <w:rPr>
          <w:rFonts w:cs="Arial"/>
          <w:color w:val="000000"/>
          <w:spacing w:val="-2"/>
        </w:rPr>
        <w:t>.</w:t>
      </w:r>
    </w:p>
    <w:p w:rsidR="0001716D" w:rsidRPr="008C4B06" w:rsidRDefault="0001716D" w:rsidP="00A547CD">
      <w:pPr>
        <w:rPr>
          <w:rFonts w:cs="Arial"/>
          <w:color w:val="000000"/>
          <w:spacing w:val="-2"/>
        </w:rPr>
      </w:pPr>
    </w:p>
    <w:p w:rsidR="0001716D" w:rsidRPr="008C4B06" w:rsidRDefault="0001716D" w:rsidP="00A547CD">
      <w:pPr>
        <w:rPr>
          <w:rFonts w:cs="Arial"/>
          <w:color w:val="000000"/>
          <w:spacing w:val="-2"/>
        </w:rPr>
      </w:pPr>
    </w:p>
    <w:p w:rsidR="007B260D" w:rsidRPr="008C4B06" w:rsidRDefault="0001716D" w:rsidP="007B260D">
      <w:pPr>
        <w:spacing w:after="120"/>
        <w:jc w:val="right"/>
        <w:rPr>
          <w:rFonts w:cs="Arial"/>
          <w:b/>
        </w:rPr>
      </w:pPr>
      <w:r w:rsidRPr="008C4B06">
        <w:rPr>
          <w:rFonts w:cs="Arial"/>
          <w:color w:val="000000"/>
          <w:spacing w:val="-2"/>
        </w:rPr>
        <w:br w:type="page"/>
      </w:r>
      <w:r w:rsidR="007B260D" w:rsidRPr="008C4B06">
        <w:rPr>
          <w:rFonts w:cs="Arial"/>
          <w:b/>
        </w:rPr>
        <w:lastRenderedPageBreak/>
        <w:t>PŘÍLOHA Č. 2</w:t>
      </w:r>
    </w:p>
    <w:tbl>
      <w:tblPr>
        <w:tblW w:w="0" w:type="auto"/>
        <w:tblLook w:val="01E0" w:firstRow="1" w:lastRow="1" w:firstColumn="1" w:lastColumn="1" w:noHBand="0" w:noVBand="0"/>
      </w:tblPr>
      <w:tblGrid>
        <w:gridCol w:w="4486"/>
        <w:gridCol w:w="4582"/>
      </w:tblGrid>
      <w:tr w:rsidR="007B260D" w:rsidRPr="00B06D8C" w:rsidTr="00B06D8C">
        <w:tc>
          <w:tcPr>
            <w:tcW w:w="4889" w:type="dxa"/>
            <w:tcBorders>
              <w:right w:val="single" w:sz="4" w:space="0" w:color="auto"/>
            </w:tcBorders>
          </w:tcPr>
          <w:p w:rsidR="007B260D" w:rsidRPr="00B06D8C" w:rsidRDefault="007B260D" w:rsidP="00B06D8C">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7B260D" w:rsidRPr="00B06D8C" w:rsidRDefault="007C7D9C" w:rsidP="00B06D8C">
            <w:pPr>
              <w:spacing w:before="120" w:after="120"/>
              <w:jc w:val="right"/>
              <w:rPr>
                <w:rFonts w:cs="Arial"/>
                <w:b/>
              </w:rPr>
            </w:pPr>
            <w:bookmarkStart w:id="73" w:name="registr_3"/>
            <w:bookmarkEnd w:id="73"/>
            <w:r>
              <w:rPr>
                <w:rFonts w:cs="Arial"/>
                <w:b/>
              </w:rPr>
              <w:t>99017949454</w:t>
            </w:r>
          </w:p>
        </w:tc>
      </w:tr>
      <w:tr w:rsidR="007B260D" w:rsidRPr="00B06D8C" w:rsidTr="00B06D8C">
        <w:tc>
          <w:tcPr>
            <w:tcW w:w="4889" w:type="dxa"/>
          </w:tcPr>
          <w:p w:rsidR="007B260D" w:rsidRPr="00B06D8C" w:rsidRDefault="007B260D" w:rsidP="00B06D8C">
            <w:pPr>
              <w:spacing w:before="40"/>
              <w:rPr>
                <w:rFonts w:cs="Arial"/>
                <w:sz w:val="16"/>
                <w:szCs w:val="16"/>
              </w:rPr>
            </w:pPr>
          </w:p>
        </w:tc>
        <w:tc>
          <w:tcPr>
            <w:tcW w:w="4890" w:type="dxa"/>
            <w:tcBorders>
              <w:top w:val="single" w:sz="4" w:space="0" w:color="auto"/>
            </w:tcBorders>
          </w:tcPr>
          <w:p w:rsidR="007B260D" w:rsidRPr="00B06D8C" w:rsidRDefault="007B260D" w:rsidP="00B06D8C">
            <w:pPr>
              <w:spacing w:before="40"/>
              <w:jc w:val="right"/>
              <w:rPr>
                <w:rFonts w:cs="Arial"/>
                <w:sz w:val="16"/>
                <w:szCs w:val="16"/>
              </w:rPr>
            </w:pPr>
            <w:r w:rsidRPr="00B06D8C">
              <w:rPr>
                <w:rFonts w:cs="Arial"/>
                <w:sz w:val="16"/>
                <w:szCs w:val="16"/>
              </w:rPr>
              <w:t>registrační číslo</w:t>
            </w:r>
          </w:p>
        </w:tc>
      </w:tr>
    </w:tbl>
    <w:p w:rsidR="007B260D" w:rsidRPr="008C4B06" w:rsidRDefault="007B260D" w:rsidP="007B260D">
      <w:pPr>
        <w:rPr>
          <w:rFonts w:cs="Arial"/>
        </w:rPr>
      </w:pPr>
    </w:p>
    <w:p w:rsidR="007B260D" w:rsidRPr="008C4B06" w:rsidRDefault="007B260D" w:rsidP="007B260D">
      <w:pPr>
        <w:spacing w:after="120"/>
        <w:rPr>
          <w:rFonts w:cs="Arial"/>
          <w:b/>
          <w:sz w:val="28"/>
          <w:szCs w:val="28"/>
        </w:rPr>
      </w:pPr>
      <w:r w:rsidRPr="008C4B06">
        <w:rPr>
          <w:rFonts w:cs="Arial"/>
          <w:b/>
          <w:sz w:val="28"/>
          <w:szCs w:val="28"/>
        </w:rPr>
        <w:t>DEFINICE TYPŮ STRUKTUROVANÝCH SAZEB</w:t>
      </w:r>
    </w:p>
    <w:p w:rsidR="007B260D" w:rsidRPr="008C4B06" w:rsidRDefault="007B260D" w:rsidP="007B260D">
      <w:pPr>
        <w:spacing w:before="120" w:after="120"/>
        <w:ind w:left="284" w:hanging="284"/>
        <w:rPr>
          <w:rFonts w:cs="Arial"/>
          <w:b/>
          <w:szCs w:val="18"/>
        </w:rPr>
      </w:pPr>
      <w:r w:rsidRPr="008C4B06">
        <w:rPr>
          <w:rFonts w:cs="Arial"/>
          <w:b/>
          <w:szCs w:val="18"/>
        </w:rPr>
        <w:t>1.</w:t>
      </w:r>
      <w:r w:rsidRPr="008C4B06">
        <w:rPr>
          <w:rFonts w:cs="Arial"/>
          <w:b/>
          <w:szCs w:val="18"/>
        </w:rPr>
        <w:tab/>
        <w:t>Typy Strukturovaných sazeb:</w:t>
      </w:r>
    </w:p>
    <w:p w:rsidR="007B260D" w:rsidRPr="008C4B06" w:rsidRDefault="007B260D" w:rsidP="007B260D">
      <w:pPr>
        <w:numPr>
          <w:ilvl w:val="0"/>
          <w:numId w:val="19"/>
        </w:numPr>
        <w:tabs>
          <w:tab w:val="clear" w:pos="720"/>
        </w:tabs>
        <w:spacing w:after="60"/>
        <w:ind w:left="568" w:hanging="284"/>
        <w:rPr>
          <w:rFonts w:cs="Arial"/>
          <w:b/>
          <w:bCs/>
        </w:rPr>
      </w:pPr>
      <w:r w:rsidRPr="008C4B06">
        <w:rPr>
          <w:rFonts w:cs="Arial"/>
          <w:b/>
          <w:bCs/>
        </w:rPr>
        <w:t>INDEX</w:t>
      </w:r>
    </w:p>
    <w:p w:rsidR="007B260D" w:rsidRPr="008C4B06" w:rsidRDefault="007B260D" w:rsidP="007B260D">
      <w:pPr>
        <w:spacing w:after="120"/>
        <w:ind w:left="567"/>
        <w:rPr>
          <w:rFonts w:cs="Arial"/>
          <w:bCs/>
        </w:rPr>
      </w:pPr>
      <w:r w:rsidRPr="008C4B06">
        <w:rPr>
          <w:rFonts w:cs="Arial"/>
          <w:bCs/>
        </w:rPr>
        <w:t>Jistina je úročena Indexem navýšeným nebo sníženým o Marži nebo součtem více Indexů navýšených nebo snížených o Marži.</w:t>
      </w:r>
    </w:p>
    <w:p w:rsidR="007B260D" w:rsidRPr="008C4B06" w:rsidRDefault="007B260D" w:rsidP="007B260D">
      <w:pPr>
        <w:numPr>
          <w:ilvl w:val="0"/>
          <w:numId w:val="19"/>
        </w:numPr>
        <w:tabs>
          <w:tab w:val="clear" w:pos="720"/>
        </w:tabs>
        <w:spacing w:after="60"/>
        <w:ind w:left="568" w:hanging="284"/>
        <w:rPr>
          <w:rFonts w:cs="Arial"/>
          <w:b/>
          <w:bCs/>
        </w:rPr>
      </w:pPr>
      <w:smartTag w:uri="urn:schemas-microsoft-com:office:smarttags" w:element="stockticker">
        <w:r w:rsidRPr="008C4B06">
          <w:rPr>
            <w:rFonts w:cs="Arial"/>
            <w:b/>
            <w:bCs/>
          </w:rPr>
          <w:t>CAP</w:t>
        </w:r>
      </w:smartTag>
    </w:p>
    <w:p w:rsidR="007B260D" w:rsidRPr="008C4B06" w:rsidRDefault="007B260D" w:rsidP="007B260D">
      <w:pPr>
        <w:spacing w:after="120"/>
        <w:ind w:left="567"/>
        <w:rPr>
          <w:rFonts w:cs="Arial"/>
          <w:bCs/>
        </w:rPr>
      </w:pPr>
      <w:r w:rsidRPr="008C4B06">
        <w:rPr>
          <w:rFonts w:cs="Arial"/>
          <w:bCs/>
        </w:rPr>
        <w:t xml:space="preserve">Strukturovaná sazba </w:t>
      </w:r>
      <w:smartTag w:uri="urn:schemas-microsoft-com:office:smarttags" w:element="stockticker">
        <w:r w:rsidRPr="008C4B06">
          <w:rPr>
            <w:rFonts w:cs="Arial"/>
            <w:bCs/>
          </w:rPr>
          <w:t>CAP</w:t>
        </w:r>
      </w:smartTag>
      <w:r w:rsidRPr="008C4B06">
        <w:rPr>
          <w:rFonts w:cs="Arial"/>
          <w:bCs/>
        </w:rPr>
        <w:t xml:space="preserve"> zajišťuje Klienta před vzrůstem úrokových sazeb. Je dohodnuta limitní sazba. Jestliže je v den fixace úrokové sazby tato sazba nižší nebo rovna limitní sazbě, úročí se jistina podle této sazby, jestliže je vyšší, úročí se podle limitní sazby.</w:t>
      </w:r>
    </w:p>
    <w:p w:rsidR="007B260D" w:rsidRPr="008C4B06" w:rsidRDefault="007B260D" w:rsidP="007B260D">
      <w:pPr>
        <w:numPr>
          <w:ilvl w:val="0"/>
          <w:numId w:val="19"/>
        </w:numPr>
        <w:tabs>
          <w:tab w:val="clear" w:pos="720"/>
        </w:tabs>
        <w:spacing w:after="60"/>
        <w:ind w:left="568" w:hanging="284"/>
        <w:rPr>
          <w:rFonts w:cs="Arial"/>
          <w:b/>
          <w:bCs/>
        </w:rPr>
      </w:pPr>
      <w:smartTag w:uri="urn:schemas-microsoft-com:office:smarttags" w:element="stockticker">
        <w:r w:rsidRPr="008C4B06">
          <w:rPr>
            <w:rFonts w:cs="Arial"/>
            <w:b/>
            <w:bCs/>
          </w:rPr>
          <w:t>FIX</w:t>
        </w:r>
      </w:smartTag>
      <w:r w:rsidRPr="008C4B06">
        <w:rPr>
          <w:rFonts w:cs="Arial"/>
          <w:b/>
          <w:bCs/>
        </w:rPr>
        <w:t xml:space="preserve"> </w:t>
      </w:r>
    </w:p>
    <w:p w:rsidR="007B260D" w:rsidRPr="008C4B06" w:rsidRDefault="007B260D" w:rsidP="007B260D">
      <w:pPr>
        <w:spacing w:after="120"/>
        <w:ind w:left="567"/>
        <w:rPr>
          <w:rFonts w:cs="Arial"/>
          <w:bCs/>
        </w:rPr>
      </w:pPr>
      <w:r w:rsidRPr="008C4B06">
        <w:rPr>
          <w:rFonts w:cs="Arial"/>
          <w:bCs/>
        </w:rPr>
        <w:t>Jistina je úročena pevnou sazbou, která je stanovena na určité časové období.</w:t>
      </w:r>
    </w:p>
    <w:p w:rsidR="007B260D" w:rsidRPr="008C4B06" w:rsidRDefault="007B260D" w:rsidP="007B260D">
      <w:pPr>
        <w:numPr>
          <w:ilvl w:val="0"/>
          <w:numId w:val="19"/>
        </w:numPr>
        <w:tabs>
          <w:tab w:val="clear" w:pos="720"/>
        </w:tabs>
        <w:spacing w:after="60"/>
        <w:ind w:left="568" w:hanging="284"/>
        <w:rPr>
          <w:rFonts w:cs="Arial"/>
          <w:b/>
          <w:bCs/>
        </w:rPr>
      </w:pPr>
      <w:r w:rsidRPr="008C4B06">
        <w:rPr>
          <w:rFonts w:cs="Arial"/>
          <w:b/>
          <w:bCs/>
        </w:rPr>
        <w:t>PERFORMANCE</w:t>
      </w:r>
    </w:p>
    <w:p w:rsidR="007B260D" w:rsidRPr="008C4B06" w:rsidRDefault="007B260D" w:rsidP="007B260D">
      <w:pPr>
        <w:spacing w:after="60"/>
        <w:ind w:left="567"/>
        <w:rPr>
          <w:rFonts w:cs="Arial"/>
          <w:bCs/>
        </w:rPr>
      </w:pPr>
      <w:r w:rsidRPr="008C4B06">
        <w:rPr>
          <w:rFonts w:cs="Arial"/>
          <w:bCs/>
        </w:rPr>
        <w:t>Jistina je úročena dvěma možnými způsoby:</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pevnou sazbou, je-li Index nižší nebo roven Limitu; nebo</w:t>
      </w:r>
    </w:p>
    <w:p w:rsidR="007B260D" w:rsidRPr="008C4B06" w:rsidRDefault="007B260D" w:rsidP="007B260D">
      <w:pPr>
        <w:pStyle w:val="Odrazka-ctverecek"/>
        <w:tabs>
          <w:tab w:val="clear" w:pos="1418"/>
          <w:tab w:val="num" w:pos="851"/>
        </w:tabs>
        <w:spacing w:after="120"/>
        <w:ind w:left="851"/>
        <w:rPr>
          <w:rFonts w:cs="Arial"/>
        </w:rPr>
      </w:pPr>
      <w:r w:rsidRPr="008C4B06">
        <w:rPr>
          <w:rFonts w:cs="Arial"/>
        </w:rPr>
        <w:t>x-násobkem Indexu navýšeným nebo sníženým o Marži, je-li Index vyšší než Limit (kde x je předem dohodnuté číslo)</w:t>
      </w:r>
    </w:p>
    <w:p w:rsidR="007B260D" w:rsidRPr="008C4B06" w:rsidRDefault="007B260D" w:rsidP="007B260D">
      <w:pPr>
        <w:numPr>
          <w:ilvl w:val="0"/>
          <w:numId w:val="19"/>
        </w:numPr>
        <w:tabs>
          <w:tab w:val="clear" w:pos="720"/>
        </w:tabs>
        <w:spacing w:after="60"/>
        <w:ind w:left="568" w:hanging="284"/>
        <w:rPr>
          <w:rFonts w:cs="Arial"/>
          <w:b/>
          <w:bCs/>
        </w:rPr>
      </w:pPr>
      <w:r w:rsidRPr="008C4B06">
        <w:rPr>
          <w:rFonts w:cs="Arial"/>
          <w:b/>
          <w:bCs/>
        </w:rPr>
        <w:t>COLLAR</w:t>
      </w:r>
    </w:p>
    <w:p w:rsidR="007B260D" w:rsidRPr="008C4B06" w:rsidRDefault="007B260D" w:rsidP="007B260D">
      <w:pPr>
        <w:spacing w:after="60"/>
        <w:ind w:left="567"/>
        <w:rPr>
          <w:rFonts w:cs="Arial"/>
          <w:bCs/>
        </w:rPr>
      </w:pPr>
      <w:r w:rsidRPr="008C4B06">
        <w:rPr>
          <w:rFonts w:cs="Arial"/>
          <w:bCs/>
        </w:rPr>
        <w:t>Ve vztahu k Indexu jsou stanoveny dva Limity – Limit 1 a Limit 2, kde Limit 1 je menší než Limit 2.</w:t>
      </w:r>
    </w:p>
    <w:p w:rsidR="007B260D" w:rsidRPr="008C4B06" w:rsidRDefault="007B260D" w:rsidP="007B260D">
      <w:pPr>
        <w:spacing w:after="60"/>
        <w:ind w:left="567"/>
        <w:rPr>
          <w:rFonts w:cs="Arial"/>
          <w:bCs/>
        </w:rPr>
      </w:pPr>
      <w:r w:rsidRPr="008C4B06">
        <w:rPr>
          <w:rFonts w:cs="Arial"/>
          <w:bCs/>
        </w:rPr>
        <w:t>Výše sazby pro dané období je pak stanovena jako:</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Limit 1, je-li Index menší než Limit 1</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Index, je-li Index vyšší než Limit 1 a zároveň nižší než Limit 2</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Limit 2, je-li Index vyšší než Limit 2</w:t>
      </w:r>
    </w:p>
    <w:p w:rsidR="007B260D" w:rsidRPr="008C4B06" w:rsidRDefault="007B260D" w:rsidP="007B260D">
      <w:pPr>
        <w:spacing w:after="120"/>
        <w:ind w:left="567"/>
        <w:rPr>
          <w:rFonts w:cs="Arial"/>
          <w:bCs/>
        </w:rPr>
      </w:pPr>
      <w:r w:rsidRPr="008C4B06">
        <w:rPr>
          <w:rFonts w:cs="Arial"/>
          <w:bCs/>
        </w:rPr>
        <w:t>Popřípadě lze dohodnout, že výsledná sazba dle výše uvedeného výpočtu je dále upravena o Marži</w:t>
      </w:r>
    </w:p>
    <w:p w:rsidR="007B260D" w:rsidRPr="008C4B06" w:rsidRDefault="007B260D" w:rsidP="007B260D">
      <w:pPr>
        <w:numPr>
          <w:ilvl w:val="0"/>
          <w:numId w:val="19"/>
        </w:numPr>
        <w:tabs>
          <w:tab w:val="clear" w:pos="720"/>
        </w:tabs>
        <w:spacing w:after="60"/>
        <w:ind w:left="568" w:hanging="284"/>
        <w:rPr>
          <w:rFonts w:cs="Arial"/>
          <w:b/>
          <w:bCs/>
        </w:rPr>
      </w:pPr>
      <w:r w:rsidRPr="008C4B06">
        <w:rPr>
          <w:rFonts w:cs="Arial"/>
          <w:b/>
          <w:bCs/>
        </w:rPr>
        <w:t>COLLAR S DEAKTIVAČNÍ BARIÉROU</w:t>
      </w:r>
    </w:p>
    <w:p w:rsidR="007B260D" w:rsidRPr="008C4B06" w:rsidRDefault="007B260D" w:rsidP="007B260D">
      <w:pPr>
        <w:spacing w:after="60"/>
        <w:ind w:left="567"/>
        <w:rPr>
          <w:rFonts w:cs="Arial"/>
          <w:bCs/>
        </w:rPr>
      </w:pPr>
      <w:r w:rsidRPr="008C4B06">
        <w:rPr>
          <w:rFonts w:cs="Arial"/>
          <w:bCs/>
        </w:rPr>
        <w:t>Výše sazby pro dané období je určena shodně, jako v případě sazby COLLAR s tím, že je současně stanoven Limit 3, který je vyšší než Limit 2 a platí:</w:t>
      </w:r>
    </w:p>
    <w:p w:rsidR="007B260D" w:rsidRPr="008C4B06" w:rsidRDefault="007B260D" w:rsidP="007B260D">
      <w:pPr>
        <w:spacing w:after="120"/>
        <w:ind w:left="567"/>
        <w:rPr>
          <w:rFonts w:cs="Arial"/>
          <w:bCs/>
        </w:rPr>
      </w:pPr>
      <w:r w:rsidRPr="008C4B06">
        <w:rPr>
          <w:rFonts w:cs="Arial"/>
          <w:bCs/>
        </w:rPr>
        <w:t>Je-li Index vyšší než Limit 3, stanoví se výše sazby jako Index (popřípadě upravený o Marži)</w:t>
      </w:r>
    </w:p>
    <w:p w:rsidR="007B260D" w:rsidRPr="008C4B06" w:rsidRDefault="007B260D" w:rsidP="007B260D">
      <w:pPr>
        <w:numPr>
          <w:ilvl w:val="0"/>
          <w:numId w:val="19"/>
        </w:numPr>
        <w:tabs>
          <w:tab w:val="clear" w:pos="720"/>
        </w:tabs>
        <w:spacing w:after="60"/>
        <w:ind w:left="568" w:hanging="284"/>
        <w:rPr>
          <w:rFonts w:cs="Arial"/>
          <w:b/>
          <w:bCs/>
        </w:rPr>
      </w:pPr>
      <w:r w:rsidRPr="008C4B06">
        <w:rPr>
          <w:rFonts w:cs="Arial"/>
          <w:b/>
          <w:bCs/>
        </w:rPr>
        <w:t xml:space="preserve">DVOJÚROVŇOVÝ COLLAR </w:t>
      </w:r>
    </w:p>
    <w:p w:rsidR="007B260D" w:rsidRPr="008C4B06" w:rsidRDefault="007B260D" w:rsidP="007B260D">
      <w:pPr>
        <w:spacing w:after="60"/>
        <w:ind w:left="567"/>
        <w:rPr>
          <w:rFonts w:cs="Arial"/>
          <w:bCs/>
        </w:rPr>
      </w:pPr>
      <w:r w:rsidRPr="008C4B06">
        <w:rPr>
          <w:rFonts w:cs="Arial"/>
          <w:bCs/>
        </w:rPr>
        <w:t>Jistina je úročena:</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pevnou sazbou 1, je-li Index nižší nebo roven Limitu 1,</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 xml:space="preserve">násobkem i x Index navýšeným nebo sníženým o Marži, je-li Index vyšší než Limit </w:t>
      </w:r>
      <w:smartTag w:uri="urn:schemas-microsoft-com:office:smarttags" w:element="metricconverter">
        <w:smartTagPr>
          <w:attr w:name="ProductID" w:val="1 a"/>
        </w:smartTagPr>
        <w:r w:rsidRPr="008C4B06">
          <w:rPr>
            <w:rFonts w:cs="Arial"/>
          </w:rPr>
          <w:t>1 a</w:t>
        </w:r>
      </w:smartTag>
      <w:r w:rsidRPr="008C4B06">
        <w:rPr>
          <w:rFonts w:cs="Arial"/>
        </w:rPr>
        <w:t xml:space="preserve"> nižší nebo roven Limitu 2,</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 xml:space="preserve">pevnou sazbou 2, je-li Index vyšší než Limit </w:t>
      </w:r>
      <w:smartTag w:uri="urn:schemas-microsoft-com:office:smarttags" w:element="metricconverter">
        <w:smartTagPr>
          <w:attr w:name="ProductID" w:val="2 a"/>
        </w:smartTagPr>
        <w:r w:rsidRPr="008C4B06">
          <w:rPr>
            <w:rFonts w:cs="Arial"/>
          </w:rPr>
          <w:t>2 a</w:t>
        </w:r>
      </w:smartTag>
      <w:r w:rsidRPr="008C4B06">
        <w:rPr>
          <w:rFonts w:cs="Arial"/>
        </w:rPr>
        <w:t xml:space="preserve"> nižší nebo roven Limitu 3,</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 xml:space="preserve">pevnou sazbou 3 nebo na základ suchého Indexu, navýšeného nebo sníženého o Marži, je-li Index vyšší než Limit </w:t>
      </w:r>
      <w:smartTag w:uri="urn:schemas-microsoft-com:office:smarttags" w:element="metricconverter">
        <w:smartTagPr>
          <w:attr w:name="ProductID" w:val="3 a"/>
        </w:smartTagPr>
        <w:r w:rsidRPr="008C4B06">
          <w:rPr>
            <w:rFonts w:cs="Arial"/>
          </w:rPr>
          <w:t>3 a</w:t>
        </w:r>
      </w:smartTag>
      <w:r w:rsidRPr="008C4B06">
        <w:rPr>
          <w:rFonts w:cs="Arial"/>
        </w:rPr>
        <w:t xml:space="preserve"> nižší nebo roven Limitu 4,</w:t>
      </w:r>
    </w:p>
    <w:p w:rsidR="007B260D" w:rsidRPr="008C4B06" w:rsidRDefault="007B260D" w:rsidP="007B260D">
      <w:pPr>
        <w:pStyle w:val="Odrazka-ctverecek"/>
        <w:tabs>
          <w:tab w:val="clear" w:pos="1418"/>
          <w:tab w:val="num" w:pos="851"/>
        </w:tabs>
        <w:spacing w:after="60"/>
        <w:ind w:left="851"/>
        <w:rPr>
          <w:rFonts w:cs="Arial"/>
        </w:rPr>
      </w:pPr>
      <w:r w:rsidRPr="008C4B06">
        <w:rPr>
          <w:rFonts w:cs="Arial"/>
        </w:rPr>
        <w:t>násobkem i x Index navýšeným nebo sníženým o Marži, nebo pevnou sazbou 3, je-li Index vyšší než Limit 4,</w:t>
      </w:r>
    </w:p>
    <w:p w:rsidR="007B260D" w:rsidRPr="008C4B06" w:rsidRDefault="007B260D" w:rsidP="007B260D">
      <w:pPr>
        <w:spacing w:after="60"/>
        <w:ind w:left="567"/>
        <w:rPr>
          <w:rFonts w:cs="Arial"/>
          <w:bCs/>
        </w:rPr>
      </w:pPr>
      <w:r w:rsidRPr="008C4B06">
        <w:rPr>
          <w:rFonts w:cs="Arial"/>
          <w:bCs/>
        </w:rPr>
        <w:t>kde:</w:t>
      </w:r>
    </w:p>
    <w:p w:rsidR="007B260D" w:rsidRPr="008C4B06" w:rsidRDefault="007B260D" w:rsidP="007B260D">
      <w:pPr>
        <w:spacing w:after="120"/>
        <w:ind w:left="567"/>
        <w:rPr>
          <w:rFonts w:cs="Arial"/>
          <w:bCs/>
        </w:rPr>
      </w:pPr>
      <w:r w:rsidRPr="008C4B06">
        <w:rPr>
          <w:rFonts w:cs="Arial"/>
          <w:bCs/>
        </w:rPr>
        <w:t>i = kladné nebo záporné reálné číslo nebo nula.</w:t>
      </w:r>
    </w:p>
    <w:p w:rsidR="007B260D" w:rsidRPr="008C4B06" w:rsidRDefault="007B260D" w:rsidP="007B260D">
      <w:pPr>
        <w:numPr>
          <w:ilvl w:val="0"/>
          <w:numId w:val="19"/>
        </w:numPr>
        <w:tabs>
          <w:tab w:val="clear" w:pos="720"/>
        </w:tabs>
        <w:spacing w:after="60"/>
        <w:ind w:left="568" w:hanging="284"/>
        <w:rPr>
          <w:rFonts w:cs="Arial"/>
          <w:b/>
          <w:bCs/>
        </w:rPr>
      </w:pPr>
      <w:r w:rsidRPr="008C4B06">
        <w:rPr>
          <w:rFonts w:cs="Arial"/>
          <w:b/>
          <w:bCs/>
        </w:rPr>
        <w:t xml:space="preserve">DIGITÁLNÍ ROZDÍL INDEXŮ </w:t>
      </w:r>
    </w:p>
    <w:p w:rsidR="007B260D" w:rsidRPr="008C4B06" w:rsidRDefault="007B260D" w:rsidP="005B6C41">
      <w:pPr>
        <w:spacing w:after="60"/>
        <w:ind w:left="567"/>
        <w:rPr>
          <w:rFonts w:cs="Arial"/>
          <w:bCs/>
        </w:rPr>
      </w:pPr>
      <w:r w:rsidRPr="008C4B06">
        <w:rPr>
          <w:rFonts w:cs="Arial"/>
          <w:bCs/>
        </w:rPr>
        <w:t>Výše úrokové sazby je stanovena jako:</w:t>
      </w:r>
    </w:p>
    <w:p w:rsidR="007B260D" w:rsidRPr="008C4B06" w:rsidRDefault="007B260D" w:rsidP="005B6C41">
      <w:pPr>
        <w:pStyle w:val="Odrazka-ctverecek"/>
        <w:tabs>
          <w:tab w:val="clear" w:pos="1418"/>
          <w:tab w:val="num" w:pos="851"/>
        </w:tabs>
        <w:spacing w:after="60"/>
        <w:ind w:left="851"/>
        <w:rPr>
          <w:rFonts w:cs="Arial"/>
        </w:rPr>
      </w:pPr>
      <w:r w:rsidRPr="008C4B06">
        <w:rPr>
          <w:rFonts w:cs="Arial"/>
        </w:rPr>
        <w:t>pevná sazba 1, je-li (Index 1 – Index 2) vyšší nebo roven Limitu,</w:t>
      </w:r>
    </w:p>
    <w:p w:rsidR="007B260D" w:rsidRPr="008C4B06" w:rsidRDefault="007B260D" w:rsidP="005B6C41">
      <w:pPr>
        <w:pStyle w:val="Odrazka-ctverecek"/>
        <w:tabs>
          <w:tab w:val="clear" w:pos="1418"/>
          <w:tab w:val="num" w:pos="851"/>
        </w:tabs>
        <w:spacing w:after="120"/>
        <w:ind w:left="851"/>
        <w:rPr>
          <w:rFonts w:cs="Arial"/>
        </w:rPr>
      </w:pPr>
      <w:r w:rsidRPr="008C4B06">
        <w:rPr>
          <w:rFonts w:cs="Arial"/>
        </w:rPr>
        <w:t>Index 3 navýšený nebo snížený o Marži, je-li (Index 1 – Index 2) nižší než Limit.</w:t>
      </w:r>
    </w:p>
    <w:p w:rsidR="007B260D" w:rsidRPr="008C4B06" w:rsidRDefault="007B260D" w:rsidP="005B6C41">
      <w:pPr>
        <w:numPr>
          <w:ilvl w:val="0"/>
          <w:numId w:val="19"/>
        </w:numPr>
        <w:tabs>
          <w:tab w:val="clear" w:pos="720"/>
        </w:tabs>
        <w:spacing w:after="60"/>
        <w:ind w:left="568" w:hanging="284"/>
        <w:rPr>
          <w:rFonts w:cs="Arial"/>
          <w:b/>
          <w:bCs/>
        </w:rPr>
      </w:pPr>
      <w:r w:rsidRPr="008C4B06">
        <w:rPr>
          <w:rFonts w:cs="Arial"/>
          <w:b/>
          <w:bCs/>
        </w:rPr>
        <w:t>LINEÁRNÍ ROZDÍL INDEXŮ</w:t>
      </w:r>
    </w:p>
    <w:p w:rsidR="007B260D" w:rsidRPr="008C4B06" w:rsidRDefault="007B260D" w:rsidP="005B6C41">
      <w:pPr>
        <w:spacing w:after="60"/>
        <w:ind w:left="567"/>
        <w:rPr>
          <w:rFonts w:cs="Arial"/>
          <w:bCs/>
        </w:rPr>
      </w:pPr>
      <w:r w:rsidRPr="008C4B06">
        <w:rPr>
          <w:rFonts w:cs="Arial"/>
          <w:bCs/>
        </w:rPr>
        <w:t>Výše úrokové sazby je stanovena jako:</w:t>
      </w:r>
    </w:p>
    <w:p w:rsidR="007B260D" w:rsidRPr="008C4B06" w:rsidRDefault="007B260D" w:rsidP="005B6C41">
      <w:pPr>
        <w:pStyle w:val="Odrazka-ctverecek"/>
        <w:tabs>
          <w:tab w:val="clear" w:pos="1418"/>
          <w:tab w:val="num" w:pos="851"/>
        </w:tabs>
        <w:spacing w:after="60"/>
        <w:ind w:left="851"/>
        <w:rPr>
          <w:rFonts w:cs="Arial"/>
        </w:rPr>
      </w:pPr>
      <w:r w:rsidRPr="008C4B06">
        <w:rPr>
          <w:rFonts w:cs="Arial"/>
        </w:rPr>
        <w:lastRenderedPageBreak/>
        <w:t>Maximum (0; Index 1 + Marže – i x (Index 2 – Index 3))</w:t>
      </w:r>
    </w:p>
    <w:p w:rsidR="007B260D" w:rsidRPr="008C4B06" w:rsidRDefault="007B260D" w:rsidP="005B6C41">
      <w:pPr>
        <w:spacing w:after="60"/>
        <w:ind w:left="567"/>
        <w:rPr>
          <w:rFonts w:cs="Arial"/>
          <w:bCs/>
        </w:rPr>
      </w:pPr>
      <w:r w:rsidRPr="008C4B06">
        <w:rPr>
          <w:rFonts w:cs="Arial"/>
          <w:bCs/>
        </w:rPr>
        <w:t>kde:</w:t>
      </w:r>
    </w:p>
    <w:p w:rsidR="007B260D" w:rsidRPr="008C4B06" w:rsidRDefault="007B260D" w:rsidP="005B6C41">
      <w:pPr>
        <w:spacing w:after="120"/>
        <w:ind w:left="567"/>
        <w:rPr>
          <w:rFonts w:cs="Arial"/>
          <w:bCs/>
        </w:rPr>
      </w:pPr>
      <w:r w:rsidRPr="008C4B06">
        <w:rPr>
          <w:rFonts w:cs="Arial"/>
          <w:bCs/>
        </w:rPr>
        <w:t>i = kladné nebo záporné reálné číslo nebo nula.</w:t>
      </w:r>
    </w:p>
    <w:p w:rsidR="007B260D" w:rsidRPr="008C4B06" w:rsidRDefault="007B260D" w:rsidP="005B6C41">
      <w:pPr>
        <w:numPr>
          <w:ilvl w:val="0"/>
          <w:numId w:val="19"/>
        </w:numPr>
        <w:tabs>
          <w:tab w:val="clear" w:pos="720"/>
        </w:tabs>
        <w:spacing w:after="60"/>
        <w:ind w:left="568" w:hanging="284"/>
        <w:rPr>
          <w:rFonts w:cs="Arial"/>
          <w:b/>
          <w:bCs/>
        </w:rPr>
      </w:pPr>
      <w:r w:rsidRPr="008C4B06">
        <w:rPr>
          <w:rFonts w:cs="Arial"/>
          <w:b/>
          <w:bCs/>
        </w:rPr>
        <w:t>RANGE ACCRUAL</w:t>
      </w:r>
    </w:p>
    <w:p w:rsidR="007B260D" w:rsidRPr="008C4B06" w:rsidRDefault="007B260D" w:rsidP="005B6C41">
      <w:pPr>
        <w:spacing w:after="60"/>
        <w:ind w:left="567"/>
        <w:rPr>
          <w:rFonts w:cs="Arial"/>
          <w:bCs/>
        </w:rPr>
      </w:pPr>
      <w:r w:rsidRPr="008C4B06">
        <w:rPr>
          <w:rFonts w:cs="Arial"/>
          <w:bCs/>
        </w:rPr>
        <w:t>Výše úrokové sazby je stanovena jako:</w:t>
      </w:r>
    </w:p>
    <w:p w:rsidR="007B260D" w:rsidRPr="008C4B06" w:rsidRDefault="007B260D" w:rsidP="005B6C41">
      <w:pPr>
        <w:pStyle w:val="Odrazka-ctverecek"/>
        <w:tabs>
          <w:tab w:val="clear" w:pos="1418"/>
          <w:tab w:val="num" w:pos="851"/>
        </w:tabs>
        <w:spacing w:after="60"/>
        <w:ind w:left="851"/>
        <w:rPr>
          <w:rFonts w:cs="Arial"/>
        </w:rPr>
      </w:pPr>
      <w:r w:rsidRPr="008C4B06">
        <w:rPr>
          <w:rFonts w:cs="Arial"/>
        </w:rPr>
        <w:t>násobek i x Index + pevná sazba 1 x n/N + pevná sazba 2 x (N-</w:t>
      </w:r>
      <w:proofErr w:type="gramStart"/>
      <w:r w:rsidRPr="008C4B06">
        <w:rPr>
          <w:rFonts w:cs="Arial"/>
        </w:rPr>
        <w:t>n)/</w:t>
      </w:r>
      <w:proofErr w:type="gramEnd"/>
      <w:r w:rsidRPr="008C4B06">
        <w:rPr>
          <w:rFonts w:cs="Arial"/>
        </w:rPr>
        <w:t>N,</w:t>
      </w:r>
    </w:p>
    <w:p w:rsidR="007B260D" w:rsidRPr="008C4B06" w:rsidRDefault="007B260D" w:rsidP="005B6C41">
      <w:pPr>
        <w:spacing w:after="60"/>
        <w:ind w:left="567"/>
        <w:rPr>
          <w:rFonts w:cs="Arial"/>
          <w:bCs/>
        </w:rPr>
      </w:pPr>
      <w:r w:rsidRPr="008C4B06">
        <w:rPr>
          <w:rFonts w:cs="Arial"/>
          <w:bCs/>
        </w:rPr>
        <w:t xml:space="preserve">kde: </w:t>
      </w:r>
    </w:p>
    <w:p w:rsidR="007B260D" w:rsidRPr="008C4B06" w:rsidRDefault="007B260D" w:rsidP="005B6C41">
      <w:pPr>
        <w:spacing w:after="60"/>
        <w:ind w:left="567"/>
        <w:rPr>
          <w:rFonts w:cs="Arial"/>
          <w:bCs/>
        </w:rPr>
      </w:pPr>
      <w:r w:rsidRPr="008C4B06">
        <w:rPr>
          <w:rFonts w:cs="Arial"/>
          <w:bCs/>
        </w:rPr>
        <w:t>i = kladné nebo záporné reálné číslo nebo nula,</w:t>
      </w:r>
    </w:p>
    <w:p w:rsidR="007B260D" w:rsidRPr="008C4B06" w:rsidRDefault="007B260D" w:rsidP="005B6C41">
      <w:pPr>
        <w:spacing w:after="60"/>
        <w:ind w:left="567"/>
        <w:rPr>
          <w:rFonts w:cs="Arial"/>
          <w:bCs/>
        </w:rPr>
      </w:pPr>
      <w:r w:rsidRPr="008C4B06">
        <w:rPr>
          <w:rFonts w:cs="Arial"/>
          <w:bCs/>
        </w:rPr>
        <w:t>N = celkový počet dnů období,</w:t>
      </w:r>
    </w:p>
    <w:p w:rsidR="007B260D" w:rsidRPr="008C4B06" w:rsidRDefault="007B260D" w:rsidP="005B6C41">
      <w:pPr>
        <w:spacing w:after="120"/>
        <w:ind w:left="567"/>
        <w:rPr>
          <w:rFonts w:cs="Arial"/>
          <w:bCs/>
        </w:rPr>
      </w:pPr>
      <w:r w:rsidRPr="008C4B06">
        <w:rPr>
          <w:rFonts w:cs="Arial"/>
          <w:bCs/>
        </w:rPr>
        <w:t>n = počet dnů, kdy je Index zjištěn ve stanoveném intervalu.</w:t>
      </w:r>
    </w:p>
    <w:p w:rsidR="007B260D" w:rsidRPr="008C4B06" w:rsidRDefault="007B260D" w:rsidP="005B6C41">
      <w:pPr>
        <w:numPr>
          <w:ilvl w:val="0"/>
          <w:numId w:val="19"/>
        </w:numPr>
        <w:tabs>
          <w:tab w:val="clear" w:pos="720"/>
        </w:tabs>
        <w:spacing w:after="60"/>
        <w:ind w:left="568" w:hanging="284"/>
        <w:rPr>
          <w:rFonts w:cs="Arial"/>
          <w:b/>
          <w:bCs/>
        </w:rPr>
      </w:pPr>
      <w:r w:rsidRPr="008C4B06">
        <w:rPr>
          <w:rFonts w:cs="Arial"/>
          <w:b/>
          <w:bCs/>
        </w:rPr>
        <w:t>OBMĚNITELNÁ SAZBA</w:t>
      </w:r>
    </w:p>
    <w:p w:rsidR="007B260D" w:rsidRPr="008C4B06" w:rsidRDefault="007B260D" w:rsidP="005B6C41">
      <w:pPr>
        <w:spacing w:after="120"/>
        <w:ind w:left="567"/>
        <w:rPr>
          <w:rFonts w:cs="Arial"/>
          <w:bCs/>
        </w:rPr>
      </w:pPr>
      <w:r w:rsidRPr="008C4B06">
        <w:rPr>
          <w:rFonts w:cs="Arial"/>
          <w:bCs/>
        </w:rPr>
        <w:t>Jistina je úročena sazbou, kterou si Klient vybral ze sazeb uvedených v předchozích bodech této Přílohy. Na základě rozhodnutí Banky a v souladu s podmínkami o vzájemném informování stanovenými v Potvrzení se může začít uplatňovat jin</w:t>
      </w:r>
      <w:r w:rsidR="003200C1" w:rsidRPr="008C4B06">
        <w:rPr>
          <w:rFonts w:cs="Arial"/>
          <w:bCs/>
        </w:rPr>
        <w:t>ý Typ</w:t>
      </w:r>
      <w:r w:rsidRPr="008C4B06">
        <w:rPr>
          <w:rFonts w:cs="Arial"/>
          <w:bCs/>
        </w:rPr>
        <w:t xml:space="preserve"> Strukturovan</w:t>
      </w:r>
      <w:r w:rsidR="003200C1" w:rsidRPr="008C4B06">
        <w:rPr>
          <w:rFonts w:cs="Arial"/>
          <w:bCs/>
        </w:rPr>
        <w:t>é</w:t>
      </w:r>
      <w:r w:rsidRPr="008C4B06">
        <w:rPr>
          <w:rFonts w:cs="Arial"/>
          <w:bCs/>
        </w:rPr>
        <w:t xml:space="preserve"> sazb</w:t>
      </w:r>
      <w:r w:rsidR="003200C1" w:rsidRPr="008C4B06">
        <w:rPr>
          <w:rFonts w:cs="Arial"/>
          <w:bCs/>
        </w:rPr>
        <w:t>y</w:t>
      </w:r>
      <w:r w:rsidRPr="008C4B06">
        <w:rPr>
          <w:rFonts w:cs="Arial"/>
          <w:bCs/>
        </w:rPr>
        <w:t>, kter</w:t>
      </w:r>
      <w:r w:rsidR="003200C1" w:rsidRPr="008C4B06">
        <w:rPr>
          <w:rFonts w:cs="Arial"/>
          <w:bCs/>
        </w:rPr>
        <w:t>ý</w:t>
      </w:r>
      <w:r w:rsidRPr="008C4B06">
        <w:rPr>
          <w:rFonts w:cs="Arial"/>
          <w:bCs/>
        </w:rPr>
        <w:t xml:space="preserve"> je uveden v této Příloze a o které</w:t>
      </w:r>
      <w:r w:rsidR="003200C1" w:rsidRPr="008C4B06">
        <w:rPr>
          <w:rFonts w:cs="Arial"/>
          <w:bCs/>
        </w:rPr>
        <w:t>m</w:t>
      </w:r>
      <w:r w:rsidRPr="008C4B06">
        <w:rPr>
          <w:rFonts w:cs="Arial"/>
          <w:bCs/>
        </w:rPr>
        <w:t xml:space="preserve"> byl Klient při výběru této sazby „OBMĚNITELNÁ SAZBA“ informován. Tato změna je definitivní.</w:t>
      </w:r>
    </w:p>
    <w:p w:rsidR="007B260D" w:rsidRPr="008C4B06" w:rsidRDefault="007B260D" w:rsidP="005B6C41">
      <w:pPr>
        <w:numPr>
          <w:ilvl w:val="0"/>
          <w:numId w:val="19"/>
        </w:numPr>
        <w:tabs>
          <w:tab w:val="clear" w:pos="720"/>
        </w:tabs>
        <w:spacing w:after="60"/>
        <w:ind w:left="568" w:hanging="284"/>
        <w:rPr>
          <w:rFonts w:cs="Arial"/>
          <w:b/>
          <w:bCs/>
        </w:rPr>
      </w:pPr>
      <w:r w:rsidRPr="008C4B06">
        <w:rPr>
          <w:rFonts w:cs="Arial"/>
          <w:b/>
          <w:bCs/>
        </w:rPr>
        <w:t>INDIVIDUÁLNÍ SAZBA</w:t>
      </w:r>
    </w:p>
    <w:p w:rsidR="007B260D" w:rsidRPr="008C4B06" w:rsidRDefault="003200C1" w:rsidP="005B6C41">
      <w:pPr>
        <w:spacing w:after="120"/>
        <w:ind w:left="567"/>
        <w:rPr>
          <w:rFonts w:cs="Arial"/>
          <w:bCs/>
        </w:rPr>
      </w:pPr>
      <w:r w:rsidRPr="008C4B06">
        <w:rPr>
          <w:rFonts w:cs="Arial"/>
          <w:bCs/>
        </w:rPr>
        <w:t>Sazba</w:t>
      </w:r>
      <w:r w:rsidR="007B260D" w:rsidRPr="008C4B06">
        <w:rPr>
          <w:rFonts w:cs="Arial"/>
          <w:bCs/>
        </w:rPr>
        <w:t>, která je dána modifikací a/nebo kombinací výše uvedených sazeb nebo jiných sazeb nebo sazby, na které se Klient a B</w:t>
      </w:r>
      <w:r w:rsidR="005B6C41" w:rsidRPr="008C4B06">
        <w:rPr>
          <w:rFonts w:cs="Arial"/>
          <w:bCs/>
        </w:rPr>
        <w:t>anka dohodnou.</w:t>
      </w:r>
    </w:p>
    <w:p w:rsidR="005B6C41" w:rsidRPr="008C4B06" w:rsidRDefault="005B6C41" w:rsidP="005B6C41">
      <w:pPr>
        <w:spacing w:after="120"/>
        <w:rPr>
          <w:rFonts w:cs="Arial"/>
          <w:bCs/>
        </w:rPr>
      </w:pPr>
    </w:p>
    <w:p w:rsidR="007B260D" w:rsidRPr="008C4B06" w:rsidRDefault="005B6C41" w:rsidP="005B6C41">
      <w:pPr>
        <w:spacing w:before="120" w:after="120"/>
        <w:ind w:left="284" w:hanging="284"/>
        <w:rPr>
          <w:rFonts w:cs="Arial"/>
          <w:b/>
          <w:szCs w:val="18"/>
        </w:rPr>
      </w:pPr>
      <w:r w:rsidRPr="008C4B06">
        <w:rPr>
          <w:rFonts w:cs="Arial"/>
          <w:b/>
          <w:szCs w:val="18"/>
        </w:rPr>
        <w:t>2.</w:t>
      </w:r>
      <w:r w:rsidRPr="008C4B06">
        <w:rPr>
          <w:rFonts w:cs="Arial"/>
          <w:b/>
          <w:szCs w:val="18"/>
        </w:rPr>
        <w:tab/>
      </w:r>
      <w:r w:rsidR="007B260D" w:rsidRPr="008C4B06">
        <w:rPr>
          <w:rFonts w:cs="Arial"/>
          <w:b/>
          <w:szCs w:val="18"/>
        </w:rPr>
        <w:t>Definice pojmů pro účely strukturovaných sazeb:</w:t>
      </w:r>
    </w:p>
    <w:p w:rsidR="005B6C41" w:rsidRPr="008C4B06" w:rsidRDefault="007B260D" w:rsidP="005B6C41">
      <w:pPr>
        <w:spacing w:after="120"/>
        <w:ind w:left="284"/>
        <w:rPr>
          <w:rFonts w:cs="Arial"/>
          <w:spacing w:val="-3"/>
        </w:rPr>
      </w:pPr>
      <w:r w:rsidRPr="008C4B06">
        <w:rPr>
          <w:rFonts w:cs="Arial"/>
          <w:spacing w:val="-3"/>
        </w:rPr>
        <w:t>„</w:t>
      </w:r>
      <w:r w:rsidRPr="008C4B06">
        <w:rPr>
          <w:rFonts w:cs="Arial"/>
          <w:b/>
          <w:spacing w:val="-3"/>
        </w:rPr>
        <w:t>Index</w:t>
      </w:r>
      <w:r w:rsidRPr="008C4B06">
        <w:rPr>
          <w:rFonts w:cs="Arial"/>
          <w:spacing w:val="-3"/>
        </w:rPr>
        <w:t>“</w:t>
      </w:r>
      <w:r w:rsidRPr="008C4B06">
        <w:rPr>
          <w:rFonts w:cs="Arial"/>
          <w:b/>
          <w:spacing w:val="-3"/>
        </w:rPr>
        <w:t xml:space="preserve"> </w:t>
      </w:r>
      <w:r w:rsidRPr="008C4B06">
        <w:rPr>
          <w:rFonts w:cs="Arial"/>
          <w:spacing w:val="-3"/>
        </w:rPr>
        <w:t>je některá ze sazeb vyjmenovaných a definovaných níže; Klient si index nebo indexy vybere z tohoto seznamu:</w:t>
      </w:r>
    </w:p>
    <w:p w:rsidR="005B6C41" w:rsidRPr="008C4B06" w:rsidRDefault="007B260D" w:rsidP="005B6C41">
      <w:pPr>
        <w:spacing w:after="120"/>
        <w:ind w:left="851"/>
        <w:rPr>
          <w:rFonts w:cs="Arial"/>
        </w:rPr>
      </w:pPr>
      <w:r w:rsidRPr="008C4B06">
        <w:rPr>
          <w:rFonts w:cs="Arial"/>
        </w:rPr>
        <w:t>„</w:t>
      </w:r>
      <w:smartTag w:uri="urn:schemas-microsoft-com:office:smarttags" w:element="stockticker">
        <w:r w:rsidRPr="008C4B06">
          <w:rPr>
            <w:rFonts w:cs="Arial"/>
            <w:b/>
          </w:rPr>
          <w:t>CMS</w:t>
        </w:r>
      </w:smartTag>
      <w:r w:rsidRPr="008C4B06">
        <w:rPr>
          <w:rFonts w:cs="Arial"/>
        </w:rPr>
        <w:t>“</w:t>
      </w:r>
      <w:r w:rsidRPr="008C4B06">
        <w:rPr>
          <w:rFonts w:cs="Arial"/>
          <w:b/>
        </w:rPr>
        <w:t xml:space="preserve"> </w:t>
      </w:r>
      <w:r w:rsidRPr="008C4B06">
        <w:rPr>
          <w:rFonts w:cs="Arial"/>
          <w:b/>
          <w:lang w:eastAsia="fr-FR"/>
        </w:rPr>
        <w:t>(</w:t>
      </w:r>
      <w:proofErr w:type="spellStart"/>
      <w:r w:rsidRPr="008C4B06">
        <w:rPr>
          <w:rFonts w:cs="Arial"/>
          <w:b/>
          <w:lang w:eastAsia="fr-FR"/>
        </w:rPr>
        <w:t>Constant</w:t>
      </w:r>
      <w:proofErr w:type="spellEnd"/>
      <w:r w:rsidRPr="008C4B06">
        <w:rPr>
          <w:rFonts w:cs="Arial"/>
          <w:b/>
          <w:lang w:eastAsia="fr-FR"/>
        </w:rPr>
        <w:t xml:space="preserve"> Maturity Swap) CZK</w:t>
      </w:r>
      <w:r w:rsidRPr="008C4B06">
        <w:rPr>
          <w:rFonts w:cs="Arial"/>
          <w:lang w:eastAsia="fr-FR"/>
        </w:rPr>
        <w:t xml:space="preserve"> 1 až 30 je střední pevná tržní sazba (roční báze) vyjádřená v procentech s přesností na tisíciny, za niž by byla kótována transakce úrokového swapu v korunách českých při zvolené splatnosti od 1 do 30 let. Sazba se zveřejňuje v 11:00 hodin (pražského času) na stránce REUTERS </w:t>
      </w:r>
      <w:r w:rsidRPr="008C4B06">
        <w:rPr>
          <w:rFonts w:cs="Arial"/>
        </w:rPr>
        <w:t>BGCANTOR66 (nebo stránce, která ji nahradí)</w:t>
      </w:r>
      <w:r w:rsidRPr="008C4B06">
        <w:rPr>
          <w:rFonts w:cs="Arial"/>
          <w:lang w:eastAsia="fr-FR"/>
        </w:rPr>
        <w:t xml:space="preserve">. </w:t>
      </w:r>
      <w:r w:rsidRPr="008C4B06">
        <w:rPr>
          <w:rFonts w:cs="Arial"/>
        </w:rPr>
        <w:t xml:space="preserve">Kalendářem používaným pro určení data fixace sazby </w:t>
      </w:r>
      <w:smartTag w:uri="urn:schemas-microsoft-com:office:smarttags" w:element="stockticker">
        <w:r w:rsidRPr="008C4B06">
          <w:rPr>
            <w:rFonts w:cs="Arial"/>
          </w:rPr>
          <w:t>CMS</w:t>
        </w:r>
      </w:smartTag>
      <w:r w:rsidRPr="008C4B06">
        <w:rPr>
          <w:rFonts w:cs="Arial"/>
        </w:rPr>
        <w:t xml:space="preserve"> CZK je kalendář platný v České republice (pražský čas).</w:t>
      </w:r>
    </w:p>
    <w:p w:rsidR="005B6C41" w:rsidRPr="008C4B06" w:rsidRDefault="007B260D" w:rsidP="005B6C41">
      <w:pPr>
        <w:spacing w:after="120"/>
        <w:ind w:left="851"/>
        <w:rPr>
          <w:rFonts w:cs="Arial"/>
        </w:rPr>
      </w:pPr>
      <w:r w:rsidRPr="008C4B06">
        <w:rPr>
          <w:rFonts w:cs="Arial"/>
        </w:rPr>
        <w:t xml:space="preserve">Při nedostupnosti výše zmíněné stránky bude </w:t>
      </w:r>
      <w:smartTag w:uri="urn:schemas-microsoft-com:office:smarttags" w:element="stockticker">
        <w:r w:rsidRPr="008C4B06">
          <w:rPr>
            <w:rFonts w:cs="Arial"/>
          </w:rPr>
          <w:t>CMS</w:t>
        </w:r>
      </w:smartTag>
      <w:r w:rsidRPr="008C4B06">
        <w:rPr>
          <w:rFonts w:cs="Arial"/>
        </w:rPr>
        <w:t xml:space="preserve"> n let určen Bankou jako kalkulačním agentem na základě hodnot „tržního středu“ kotací, které poskytnou referenční banky pro transakci úrokového swapu s pevnou sazbou </w:t>
      </w:r>
      <w:proofErr w:type="spellStart"/>
      <w:r w:rsidRPr="008C4B06">
        <w:rPr>
          <w:rFonts w:cs="Arial"/>
        </w:rPr>
        <w:t>p.a</w:t>
      </w:r>
      <w:proofErr w:type="spellEnd"/>
      <w:r w:rsidRPr="008C4B06">
        <w:rPr>
          <w:rFonts w:cs="Arial"/>
        </w:rPr>
        <w:t xml:space="preserve">. v korunách českých na dobu n let, která počíná dva (2) Pracovní dny po datu, kdy byl požadavek na ocenění učiněn. Banka učiní dotaz každé z referenčních bank s žádostí o sdělení hodnoty této sazby, pokud možno, k 11 hodině pražského času. Budou-li Bance sděleny alespoň tři hodnoty, bude sazba </w:t>
      </w:r>
      <w:smartTag w:uri="urn:schemas-microsoft-com:office:smarttags" w:element="stockticker">
        <w:r w:rsidRPr="008C4B06">
          <w:rPr>
            <w:rFonts w:cs="Arial"/>
          </w:rPr>
          <w:t>CMS</w:t>
        </w:r>
      </w:smartTag>
      <w:r w:rsidRPr="008C4B06">
        <w:rPr>
          <w:rFonts w:cs="Arial"/>
        </w:rPr>
        <w:t xml:space="preserve"> n let rovna aritmetickému průměru takto sdělených hodnot po eliminaci nejnižší (v případě rovnosti pak jedné z nejnižších) a nejvyšší (v případě rovnosti pak jedné z nejvyšších) z takto sdělených hodnot. Budou-li Bance sděleny méně než tři hodnoty, stanoví sazbu Banka za použití nejvíce reprezentativní kotace. Sazba se v</w:t>
      </w:r>
      <w:r w:rsidRPr="008C4B06">
        <w:rPr>
          <w:rFonts w:cs="Arial"/>
          <w:spacing w:val="-3"/>
          <w:lang w:eastAsia="fr-FR"/>
        </w:rPr>
        <w:t xml:space="preserve">ypočítává na bázi roku o 360 dnech (metoda </w:t>
      </w:r>
      <w:proofErr w:type="spellStart"/>
      <w:r w:rsidRPr="008C4B06">
        <w:rPr>
          <w:rFonts w:cs="Arial"/>
          <w:spacing w:val="-3"/>
          <w:lang w:eastAsia="fr-FR"/>
        </w:rPr>
        <w:t>Actual</w:t>
      </w:r>
      <w:proofErr w:type="spellEnd"/>
      <w:r w:rsidRPr="008C4B06">
        <w:rPr>
          <w:rFonts w:cs="Arial"/>
          <w:spacing w:val="-3"/>
          <w:lang w:eastAsia="fr-FR"/>
        </w:rPr>
        <w:t xml:space="preserve">/360) pro transakci dle zvolené splatnosti (i) za </w:t>
      </w:r>
      <w:proofErr w:type="gramStart"/>
      <w:r w:rsidRPr="008C4B06">
        <w:rPr>
          <w:rFonts w:cs="Arial"/>
        </w:rPr>
        <w:t>CZK</w:t>
      </w:r>
      <w:r w:rsidRPr="008C4B06" w:rsidDel="00171FAF">
        <w:rPr>
          <w:rFonts w:cs="Arial"/>
          <w:spacing w:val="-3"/>
          <w:lang w:eastAsia="fr-FR"/>
        </w:rPr>
        <w:t xml:space="preserve"> </w:t>
      </w:r>
      <w:r w:rsidRPr="008C4B06">
        <w:rPr>
          <w:rFonts w:cs="Arial"/>
          <w:spacing w:val="-3"/>
          <w:lang w:eastAsia="fr-FR"/>
        </w:rPr>
        <w:t>-PRIBOR</w:t>
      </w:r>
      <w:proofErr w:type="gramEnd"/>
      <w:r w:rsidRPr="008C4B06">
        <w:rPr>
          <w:rFonts w:cs="Arial"/>
          <w:spacing w:val="-3"/>
          <w:lang w:eastAsia="fr-FR"/>
        </w:rPr>
        <w:t>-PRBO 3 měsíce (pro transakce s dobou trvání méně než 2 roky) nebo (</w:t>
      </w:r>
      <w:proofErr w:type="spellStart"/>
      <w:r w:rsidRPr="008C4B06">
        <w:rPr>
          <w:rFonts w:cs="Arial"/>
          <w:spacing w:val="-3"/>
          <w:lang w:eastAsia="fr-FR"/>
        </w:rPr>
        <w:t>ii</w:t>
      </w:r>
      <w:proofErr w:type="spellEnd"/>
      <w:r w:rsidRPr="008C4B06">
        <w:rPr>
          <w:rFonts w:cs="Arial"/>
          <w:spacing w:val="-3"/>
          <w:lang w:eastAsia="fr-FR"/>
        </w:rPr>
        <w:t xml:space="preserve">) za </w:t>
      </w:r>
      <w:r w:rsidRPr="008C4B06">
        <w:rPr>
          <w:rFonts w:cs="Arial"/>
        </w:rPr>
        <w:t>CZK</w:t>
      </w:r>
      <w:r w:rsidRPr="008C4B06" w:rsidDel="00171FAF">
        <w:rPr>
          <w:rFonts w:cs="Arial"/>
          <w:spacing w:val="-3"/>
          <w:lang w:eastAsia="fr-FR"/>
        </w:rPr>
        <w:t xml:space="preserve"> </w:t>
      </w:r>
      <w:r w:rsidRPr="008C4B06">
        <w:rPr>
          <w:rFonts w:cs="Arial"/>
          <w:spacing w:val="-3"/>
          <w:lang w:eastAsia="fr-FR"/>
        </w:rPr>
        <w:t xml:space="preserve">-PRIBOR-PRBO 6 měsíců (pro transakce s dobou trvání od 2 do 30 let). </w:t>
      </w:r>
      <w:r w:rsidRPr="008C4B06">
        <w:rPr>
          <w:rFonts w:cs="Arial"/>
        </w:rPr>
        <w:t>Pro potřeby této definice se „referenčními bankami“ rozumí pět renomovaných subjektů na trhu s transakcemi úrokových swapů v korun</w:t>
      </w:r>
      <w:r w:rsidR="005B6C41" w:rsidRPr="008C4B06">
        <w:rPr>
          <w:rFonts w:cs="Arial"/>
        </w:rPr>
        <w:t>ách českých, které zvolí Banka.</w:t>
      </w:r>
    </w:p>
    <w:p w:rsidR="005B6C41" w:rsidRPr="008C4B06" w:rsidRDefault="007B260D" w:rsidP="005B6C41">
      <w:pPr>
        <w:spacing w:after="120"/>
        <w:ind w:left="851"/>
        <w:rPr>
          <w:rFonts w:cs="Arial"/>
        </w:rPr>
      </w:pPr>
      <w:r w:rsidRPr="008C4B06">
        <w:rPr>
          <w:rFonts w:cs="Arial"/>
        </w:rPr>
        <w:t>„</w:t>
      </w:r>
      <w:smartTag w:uri="urn:schemas-microsoft-com:office:smarttags" w:element="stockticker">
        <w:r w:rsidRPr="008C4B06">
          <w:rPr>
            <w:rFonts w:cs="Arial"/>
            <w:b/>
          </w:rPr>
          <w:t>CMS</w:t>
        </w:r>
      </w:smartTag>
      <w:r w:rsidRPr="008C4B06">
        <w:rPr>
          <w:rFonts w:cs="Arial"/>
        </w:rPr>
        <w:t>“</w:t>
      </w:r>
      <w:r w:rsidRPr="008C4B06">
        <w:rPr>
          <w:rFonts w:cs="Arial"/>
          <w:b/>
        </w:rPr>
        <w:t xml:space="preserve"> (</w:t>
      </w:r>
      <w:proofErr w:type="spellStart"/>
      <w:r w:rsidRPr="008C4B06">
        <w:rPr>
          <w:rFonts w:cs="Arial"/>
          <w:b/>
        </w:rPr>
        <w:t>Constant</w:t>
      </w:r>
      <w:proofErr w:type="spellEnd"/>
      <w:r w:rsidRPr="008C4B06">
        <w:rPr>
          <w:rFonts w:cs="Arial"/>
          <w:b/>
        </w:rPr>
        <w:t xml:space="preserve"> Maturity Swap) EUR</w:t>
      </w:r>
      <w:r w:rsidRPr="008C4B06">
        <w:rPr>
          <w:rFonts w:cs="Arial"/>
        </w:rPr>
        <w:t xml:space="preserve"> 1 až 30 je střední pevná tržní sazba (roční báze) v eurech vyjádřená v procentech s přesností na tisíciny, za niž by byla kótována transakce úrokového swapu při zvolené splatnosti od 1 do 30 let za EURIBOR 3 měsíce (doba trvání 1 rok) nebo za EURIBOR 6 měsíců (doba trvání od 2 do 30 let), a zveřejňuje se v 11:00 hodin (frankfurtského času) vždy v den stanovení na stránce REUTERS ISDAFIX2 (nebo stránce, která ji nahradí). Vypočítává se na bázi roku o 360 dnech (metoda </w:t>
      </w:r>
      <w:proofErr w:type="spellStart"/>
      <w:r w:rsidRPr="008C4B06">
        <w:rPr>
          <w:rFonts w:cs="Arial"/>
        </w:rPr>
        <w:t>Actual</w:t>
      </w:r>
      <w:proofErr w:type="spellEnd"/>
      <w:r w:rsidRPr="008C4B06">
        <w:rPr>
          <w:rFonts w:cs="Arial"/>
        </w:rPr>
        <w:t xml:space="preserve">/360). Kalendářem používaným pro určení data fixace </w:t>
      </w:r>
      <w:smartTag w:uri="urn:schemas-microsoft-com:office:smarttags" w:element="stockticker">
        <w:r w:rsidRPr="008C4B06">
          <w:rPr>
            <w:rFonts w:cs="Arial"/>
          </w:rPr>
          <w:t>CMS</w:t>
        </w:r>
      </w:smartTag>
      <w:r w:rsidRPr="008C4B06">
        <w:rPr>
          <w:rFonts w:cs="Arial"/>
        </w:rPr>
        <w:t xml:space="preserve"> EUR je kalendář TARGET.</w:t>
      </w:r>
    </w:p>
    <w:p w:rsidR="007B260D" w:rsidRPr="008C4B06" w:rsidRDefault="007B260D" w:rsidP="005B6C41">
      <w:pPr>
        <w:spacing w:after="120"/>
        <w:ind w:left="851"/>
        <w:rPr>
          <w:rFonts w:cs="Arial"/>
          <w:szCs w:val="18"/>
        </w:rPr>
      </w:pPr>
      <w:r w:rsidRPr="008C4B06">
        <w:rPr>
          <w:rFonts w:cs="Arial"/>
          <w:szCs w:val="18"/>
        </w:rPr>
        <w:t xml:space="preserve">Při nedostupnosti výše zmíněné stránky bude </w:t>
      </w:r>
      <w:smartTag w:uri="urn:schemas-microsoft-com:office:smarttags" w:element="stockticker">
        <w:r w:rsidRPr="008C4B06">
          <w:rPr>
            <w:rFonts w:cs="Arial"/>
            <w:szCs w:val="18"/>
          </w:rPr>
          <w:t>CMS</w:t>
        </w:r>
      </w:smartTag>
      <w:r w:rsidRPr="008C4B06">
        <w:rPr>
          <w:rFonts w:cs="Arial"/>
          <w:szCs w:val="18"/>
        </w:rPr>
        <w:t xml:space="preserve"> n let určen Bankou na základě hodnot „tržního středu“ oceněných referenčními bankami u transakce úrokového swapu s pevnou sazbou </w:t>
      </w:r>
      <w:proofErr w:type="spellStart"/>
      <w:r w:rsidRPr="008C4B06">
        <w:rPr>
          <w:rFonts w:cs="Arial"/>
          <w:szCs w:val="18"/>
        </w:rPr>
        <w:t>p.a</w:t>
      </w:r>
      <w:proofErr w:type="spellEnd"/>
      <w:r w:rsidRPr="008C4B06">
        <w:rPr>
          <w:rFonts w:cs="Arial"/>
          <w:szCs w:val="18"/>
        </w:rPr>
        <w:t xml:space="preserve">. za EURIBOR na dobu n let, která počíná dva (2) Pracovní dny po datu, kdy byl požadavek na ocenění učiněn. Banka učiní dotaz na každou z referenčních bank s žádostí o sdělení hodnoty této sazby. Budou-li Bance sděleny alespoň tři hodnoty, bude sazba </w:t>
      </w:r>
      <w:smartTag w:uri="urn:schemas-microsoft-com:office:smarttags" w:element="stockticker">
        <w:r w:rsidRPr="008C4B06">
          <w:rPr>
            <w:rFonts w:cs="Arial"/>
            <w:szCs w:val="18"/>
          </w:rPr>
          <w:t>CMS</w:t>
        </w:r>
      </w:smartTag>
      <w:r w:rsidRPr="008C4B06">
        <w:rPr>
          <w:rFonts w:cs="Arial"/>
          <w:szCs w:val="18"/>
        </w:rPr>
        <w:t xml:space="preserve"> n let rovna aritmetickému průměru takto sdělených hodnot po eliminaci nejnižší (v případě rovnosti pak jedné z nejnižších) a nejvyšší (v případě rovnosti pak jedné z nejvyšších) z takto sdělených hodnot. Pro potřeby této definice se „referenčními bankami“ rozumí pět renomovaných subjektů na trhu s transakcemi úrokových swapů v příslušné měně, které zvolí Banka.</w:t>
      </w:r>
    </w:p>
    <w:p w:rsidR="005B6C41" w:rsidRPr="008C4B06" w:rsidRDefault="007B260D" w:rsidP="005B6C41">
      <w:pPr>
        <w:spacing w:after="120"/>
        <w:ind w:left="284"/>
        <w:rPr>
          <w:rFonts w:cs="Arial"/>
          <w:spacing w:val="-3"/>
        </w:rPr>
      </w:pPr>
      <w:r w:rsidRPr="008C4B06">
        <w:rPr>
          <w:rFonts w:cs="Arial"/>
          <w:spacing w:val="-3"/>
        </w:rPr>
        <w:lastRenderedPageBreak/>
        <w:t>„</w:t>
      </w:r>
      <w:r w:rsidRPr="008C4B06">
        <w:rPr>
          <w:rFonts w:cs="Arial"/>
          <w:b/>
          <w:spacing w:val="-3"/>
        </w:rPr>
        <w:t>Limit</w:t>
      </w:r>
      <w:r w:rsidRPr="008C4B06">
        <w:rPr>
          <w:rFonts w:cs="Arial"/>
          <w:spacing w:val="-3"/>
        </w:rPr>
        <w:t>“ je pevná hodnota, jejíž dosažení nebo překročení je podmínkou pro uplatnění dohodnutého způsobu úročení.</w:t>
      </w:r>
    </w:p>
    <w:p w:rsidR="005B6C41" w:rsidRPr="008C4B06" w:rsidRDefault="007B260D" w:rsidP="005B6C41">
      <w:pPr>
        <w:spacing w:after="120"/>
        <w:ind w:left="284"/>
        <w:rPr>
          <w:rFonts w:cs="Arial"/>
        </w:rPr>
      </w:pPr>
      <w:r w:rsidRPr="008C4B06">
        <w:rPr>
          <w:rFonts w:cs="Arial"/>
          <w:spacing w:val="-3"/>
        </w:rPr>
        <w:t>„</w:t>
      </w:r>
      <w:r w:rsidRPr="008C4B06">
        <w:rPr>
          <w:rFonts w:cs="Arial"/>
          <w:b/>
          <w:spacing w:val="-3"/>
        </w:rPr>
        <w:t>Marže</w:t>
      </w:r>
      <w:r w:rsidRPr="008C4B06">
        <w:rPr>
          <w:rFonts w:cs="Arial"/>
          <w:spacing w:val="-3"/>
        </w:rPr>
        <w:t>“</w:t>
      </w:r>
      <w:r w:rsidRPr="008C4B06">
        <w:rPr>
          <w:rFonts w:cs="Arial"/>
          <w:b/>
          <w:spacing w:val="-3"/>
        </w:rPr>
        <w:t xml:space="preserve"> </w:t>
      </w:r>
      <w:r w:rsidRPr="008C4B06">
        <w:rPr>
          <w:rFonts w:cs="Arial"/>
          <w:spacing w:val="-3"/>
        </w:rPr>
        <w:t>je hodnota</w:t>
      </w:r>
      <w:r w:rsidRPr="008C4B06">
        <w:rPr>
          <w:rFonts w:cs="Arial"/>
        </w:rPr>
        <w:t xml:space="preserve"> (ať kladná nebo záporná), o kterou se upravuje hodnota Indexu nebo kalkulace jinak stanovené sazby. Velikost Marže nemá žádný vliv na velikost pevné odchylky sjednané ve Smlouvě, která je neměnná po celou dobu trvání Úvěru za předpokladu, že Klient dodržuje podmínky Smlouvy.</w:t>
      </w:r>
    </w:p>
    <w:p w:rsidR="007B260D" w:rsidRPr="008C4B06" w:rsidRDefault="007B260D" w:rsidP="005B6C41">
      <w:pPr>
        <w:spacing w:after="120"/>
        <w:ind w:left="284"/>
        <w:rPr>
          <w:rFonts w:cs="Arial"/>
          <w:szCs w:val="18"/>
        </w:rPr>
      </w:pPr>
      <w:r w:rsidRPr="008C4B06">
        <w:rPr>
          <w:rFonts w:cs="Arial"/>
          <w:szCs w:val="18"/>
        </w:rPr>
        <w:t>„</w:t>
      </w:r>
      <w:r w:rsidRPr="008C4B06">
        <w:rPr>
          <w:rFonts w:cs="Arial"/>
          <w:b/>
          <w:szCs w:val="18"/>
        </w:rPr>
        <w:t>Průměr indexu</w:t>
      </w:r>
      <w:r w:rsidRPr="008C4B06">
        <w:rPr>
          <w:rFonts w:cs="Arial"/>
          <w:szCs w:val="18"/>
        </w:rPr>
        <w:t>“</w:t>
      </w:r>
      <w:r w:rsidRPr="008C4B06">
        <w:rPr>
          <w:rFonts w:cs="Arial"/>
          <w:b/>
          <w:szCs w:val="18"/>
        </w:rPr>
        <w:t xml:space="preserve"> </w:t>
      </w:r>
      <w:r w:rsidRPr="008C4B06">
        <w:rPr>
          <w:rFonts w:cs="Arial"/>
          <w:szCs w:val="18"/>
        </w:rPr>
        <w:t>je aritmetický průměr fixovaných Indexů pro každý Pracovní den v rámci rozhodného období pro výpočet úroku.</w:t>
      </w:r>
    </w:p>
    <w:p w:rsidR="0001716D" w:rsidRPr="008C4B06" w:rsidRDefault="0001716D" w:rsidP="00A547CD">
      <w:pPr>
        <w:rPr>
          <w:rFonts w:cs="Arial"/>
          <w:color w:val="000000"/>
          <w:spacing w:val="-2"/>
        </w:rPr>
      </w:pPr>
    </w:p>
    <w:p w:rsidR="00D861E0" w:rsidRPr="008C4B06" w:rsidRDefault="005B6C41" w:rsidP="00D861E0">
      <w:pPr>
        <w:spacing w:after="120"/>
        <w:jc w:val="right"/>
        <w:rPr>
          <w:rFonts w:cs="Arial"/>
          <w:b/>
        </w:rPr>
      </w:pPr>
      <w:r w:rsidRPr="008C4B06">
        <w:rPr>
          <w:rFonts w:cs="Arial"/>
          <w:color w:val="000000"/>
          <w:spacing w:val="-2"/>
        </w:rPr>
        <w:br w:type="page"/>
      </w:r>
      <w:r w:rsidR="00D861E0" w:rsidRPr="008C4B06">
        <w:rPr>
          <w:rFonts w:cs="Arial"/>
          <w:b/>
        </w:rPr>
        <w:lastRenderedPageBreak/>
        <w:t>PŘÍLOHA Č. 3</w:t>
      </w:r>
    </w:p>
    <w:tbl>
      <w:tblPr>
        <w:tblW w:w="0" w:type="auto"/>
        <w:tblLook w:val="01E0" w:firstRow="1" w:lastRow="1" w:firstColumn="1" w:lastColumn="1" w:noHBand="0" w:noVBand="0"/>
      </w:tblPr>
      <w:tblGrid>
        <w:gridCol w:w="4486"/>
        <w:gridCol w:w="4582"/>
      </w:tblGrid>
      <w:tr w:rsidR="00D861E0" w:rsidRPr="00B06D8C" w:rsidTr="00B06D8C">
        <w:tc>
          <w:tcPr>
            <w:tcW w:w="4889" w:type="dxa"/>
            <w:tcBorders>
              <w:right w:val="single" w:sz="4" w:space="0" w:color="auto"/>
            </w:tcBorders>
          </w:tcPr>
          <w:p w:rsidR="00D861E0" w:rsidRPr="00B06D8C" w:rsidRDefault="00D861E0" w:rsidP="00B06D8C">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D861E0" w:rsidRPr="00B06D8C" w:rsidRDefault="007C7D9C" w:rsidP="00B06D8C">
            <w:pPr>
              <w:spacing w:before="120" w:after="120"/>
              <w:jc w:val="right"/>
              <w:rPr>
                <w:rFonts w:cs="Arial"/>
                <w:b/>
              </w:rPr>
            </w:pPr>
            <w:bookmarkStart w:id="74" w:name="registr_4"/>
            <w:bookmarkEnd w:id="74"/>
            <w:r>
              <w:rPr>
                <w:rFonts w:cs="Arial"/>
                <w:b/>
              </w:rPr>
              <w:t>99017949454</w:t>
            </w:r>
          </w:p>
        </w:tc>
      </w:tr>
      <w:tr w:rsidR="00D861E0" w:rsidRPr="00B06D8C" w:rsidTr="00B06D8C">
        <w:tc>
          <w:tcPr>
            <w:tcW w:w="4889" w:type="dxa"/>
          </w:tcPr>
          <w:p w:rsidR="00D861E0" w:rsidRPr="00B06D8C" w:rsidRDefault="00D861E0" w:rsidP="00B06D8C">
            <w:pPr>
              <w:spacing w:before="40"/>
              <w:rPr>
                <w:rFonts w:cs="Arial"/>
                <w:sz w:val="16"/>
                <w:szCs w:val="16"/>
              </w:rPr>
            </w:pPr>
          </w:p>
        </w:tc>
        <w:tc>
          <w:tcPr>
            <w:tcW w:w="4890" w:type="dxa"/>
            <w:tcBorders>
              <w:top w:val="single" w:sz="4" w:space="0" w:color="auto"/>
            </w:tcBorders>
          </w:tcPr>
          <w:p w:rsidR="00D861E0" w:rsidRPr="00B06D8C" w:rsidRDefault="00D861E0" w:rsidP="00B06D8C">
            <w:pPr>
              <w:spacing w:before="40"/>
              <w:jc w:val="right"/>
              <w:rPr>
                <w:rFonts w:cs="Arial"/>
                <w:sz w:val="16"/>
                <w:szCs w:val="16"/>
              </w:rPr>
            </w:pPr>
            <w:r w:rsidRPr="00B06D8C">
              <w:rPr>
                <w:rFonts w:cs="Arial"/>
                <w:sz w:val="16"/>
                <w:szCs w:val="16"/>
              </w:rPr>
              <w:t>registrační číslo</w:t>
            </w:r>
          </w:p>
        </w:tc>
      </w:tr>
    </w:tbl>
    <w:p w:rsidR="00D861E0" w:rsidRPr="008C4B06" w:rsidRDefault="00D861E0" w:rsidP="00D861E0">
      <w:pPr>
        <w:rPr>
          <w:rFonts w:cs="Arial"/>
        </w:rPr>
      </w:pPr>
    </w:p>
    <w:p w:rsidR="00D861E0" w:rsidRPr="008C4B06" w:rsidRDefault="00D861E0" w:rsidP="00D861E0">
      <w:pPr>
        <w:spacing w:after="120"/>
        <w:rPr>
          <w:rFonts w:cs="Arial"/>
          <w:b/>
          <w:sz w:val="28"/>
          <w:szCs w:val="28"/>
        </w:rPr>
      </w:pPr>
      <w:r w:rsidRPr="008C4B06">
        <w:rPr>
          <w:rFonts w:cs="Arial"/>
          <w:b/>
          <w:sz w:val="28"/>
          <w:szCs w:val="28"/>
        </w:rPr>
        <w:t>KONTAKTNÍ ÚDAJE BANKY</w:t>
      </w:r>
    </w:p>
    <w:p w:rsidR="0001716D" w:rsidRPr="008C4B06" w:rsidRDefault="0001716D" w:rsidP="00A547CD">
      <w:pPr>
        <w:rPr>
          <w:rFonts w:cs="Arial"/>
          <w:color w:val="000000"/>
          <w:spacing w:val="-2"/>
        </w:rPr>
      </w:pPr>
    </w:p>
    <w:p w:rsidR="0001716D" w:rsidRPr="008C4B06" w:rsidRDefault="006F5903" w:rsidP="00C1506B">
      <w:pPr>
        <w:spacing w:after="120"/>
        <w:rPr>
          <w:rFonts w:cs="Arial"/>
          <w:b/>
          <w:color w:val="000000"/>
          <w:spacing w:val="-2"/>
        </w:rPr>
      </w:pPr>
      <w:r>
        <w:rPr>
          <w:rFonts w:cs="Arial"/>
          <w:b/>
          <w:color w:val="000000"/>
          <w:spacing w:val="-2"/>
        </w:rPr>
        <w:t>Kontaktní adresa</w:t>
      </w:r>
      <w:r w:rsidR="00C1506B" w:rsidRPr="008C4B06">
        <w:rPr>
          <w:rFonts w:cs="Arial"/>
          <w:b/>
          <w:color w:val="000000"/>
          <w:spacing w:val="-2"/>
        </w:rPr>
        <w:t>:</w:t>
      </w:r>
    </w:p>
    <w:p w:rsidR="00C1506B" w:rsidRDefault="00C1506B" w:rsidP="00C1506B">
      <w:pPr>
        <w:spacing w:after="120"/>
        <w:rPr>
          <w:rFonts w:cs="Arial"/>
          <w:color w:val="000000"/>
          <w:spacing w:val="-2"/>
        </w:rPr>
      </w:pPr>
      <w:r w:rsidRPr="008C4B06">
        <w:rPr>
          <w:rFonts w:cs="Arial"/>
          <w:color w:val="000000"/>
          <w:spacing w:val="-2"/>
        </w:rPr>
        <w:t>Komerční banka, a.s.</w:t>
      </w:r>
    </w:p>
    <w:p w:rsidR="0039237F" w:rsidRPr="008C4B06" w:rsidRDefault="0039237F" w:rsidP="00C1506B">
      <w:pPr>
        <w:spacing w:after="120"/>
        <w:rPr>
          <w:rFonts w:cs="Arial"/>
          <w:color w:val="000000"/>
          <w:spacing w:val="-2"/>
        </w:rPr>
      </w:pPr>
      <w:r>
        <w:rPr>
          <w:rFonts w:cs="Arial"/>
          <w:color w:val="000000"/>
          <w:spacing w:val="-2"/>
        </w:rPr>
        <w:t>Pobočka Veselí nad Moravou</w:t>
      </w:r>
    </w:p>
    <w:p w:rsidR="00C1506B" w:rsidRPr="008C4B06" w:rsidRDefault="007C7D9C" w:rsidP="00C1506B">
      <w:pPr>
        <w:spacing w:after="120"/>
        <w:rPr>
          <w:rFonts w:cs="Arial"/>
          <w:color w:val="000000"/>
          <w:spacing w:val="-2"/>
        </w:rPr>
      </w:pPr>
      <w:r>
        <w:rPr>
          <w:rFonts w:cs="Arial"/>
          <w:color w:val="000000"/>
          <w:spacing w:val="-2"/>
        </w:rPr>
        <w:t>Svatoplukova 654</w:t>
      </w:r>
    </w:p>
    <w:p w:rsidR="0001716D" w:rsidRPr="008C4B06" w:rsidRDefault="007C7D9C" w:rsidP="00C1506B">
      <w:pPr>
        <w:spacing w:after="120"/>
        <w:rPr>
          <w:rFonts w:cs="Arial"/>
          <w:color w:val="000000"/>
          <w:spacing w:val="-2"/>
        </w:rPr>
      </w:pPr>
      <w:r>
        <w:rPr>
          <w:rFonts w:cs="Arial"/>
          <w:color w:val="000000"/>
          <w:spacing w:val="-2"/>
        </w:rPr>
        <w:t>698 01 Veselí nad Moravou</w:t>
      </w:r>
    </w:p>
    <w:p w:rsidR="005B3883" w:rsidRPr="008C4B06" w:rsidRDefault="005B3883" w:rsidP="00C1506B">
      <w:pPr>
        <w:spacing w:after="120"/>
        <w:rPr>
          <w:rFonts w:cs="Arial"/>
          <w:color w:val="000000"/>
          <w:spacing w:val="-2"/>
        </w:rPr>
      </w:pPr>
    </w:p>
    <w:p w:rsidR="0001716D" w:rsidRPr="008C4B06" w:rsidRDefault="00C1506B" w:rsidP="00C1506B">
      <w:pPr>
        <w:spacing w:after="120"/>
        <w:ind w:left="567" w:hanging="567"/>
        <w:rPr>
          <w:rFonts w:cs="Arial"/>
          <w:color w:val="000000"/>
          <w:spacing w:val="-2"/>
        </w:rPr>
      </w:pPr>
      <w:r w:rsidRPr="008C4B06">
        <w:rPr>
          <w:rFonts w:cs="Arial"/>
          <w:color w:val="000000"/>
          <w:spacing w:val="-2"/>
        </w:rPr>
        <w:t>tel:</w:t>
      </w:r>
      <w:r w:rsidRPr="008C4B06">
        <w:rPr>
          <w:rFonts w:cs="Arial"/>
          <w:color w:val="000000"/>
          <w:spacing w:val="-2"/>
        </w:rPr>
        <w:tab/>
      </w:r>
      <w:r w:rsidR="008C3AB6">
        <w:rPr>
          <w:rFonts w:cs="Arial"/>
          <w:color w:val="000000"/>
          <w:spacing w:val="-2"/>
        </w:rPr>
        <w:t xml:space="preserve"> </w:t>
      </w:r>
    </w:p>
    <w:p w:rsidR="00C1506B" w:rsidRPr="008C4B06" w:rsidRDefault="00C1506B" w:rsidP="00C1506B">
      <w:pPr>
        <w:spacing w:after="120"/>
        <w:ind w:left="567" w:hanging="567"/>
        <w:rPr>
          <w:rFonts w:cs="Arial"/>
          <w:color w:val="000000"/>
          <w:spacing w:val="-2"/>
        </w:rPr>
      </w:pPr>
      <w:r w:rsidRPr="008C4B06">
        <w:rPr>
          <w:rFonts w:cs="Arial"/>
          <w:color w:val="000000"/>
          <w:spacing w:val="-2"/>
        </w:rPr>
        <w:t>fax:</w:t>
      </w:r>
      <w:r w:rsidRPr="008C4B06">
        <w:rPr>
          <w:rFonts w:cs="Arial"/>
          <w:color w:val="000000"/>
          <w:spacing w:val="-2"/>
        </w:rPr>
        <w:tab/>
      </w:r>
    </w:p>
    <w:p w:rsidR="0001716D" w:rsidRPr="008C4B06" w:rsidRDefault="0001716D" w:rsidP="00A547CD">
      <w:pPr>
        <w:rPr>
          <w:rFonts w:cs="Arial"/>
        </w:rPr>
      </w:pPr>
    </w:p>
    <w:p w:rsidR="0001716D" w:rsidRPr="008C4B06" w:rsidRDefault="0001716D" w:rsidP="00A547CD">
      <w:pPr>
        <w:rPr>
          <w:rFonts w:cs="Arial"/>
        </w:rPr>
      </w:pPr>
    </w:p>
    <w:p w:rsidR="00C1506B" w:rsidRPr="008C4B06" w:rsidRDefault="00C1506B" w:rsidP="00C1506B">
      <w:pPr>
        <w:spacing w:after="120"/>
        <w:rPr>
          <w:rFonts w:cs="Arial"/>
          <w:b/>
          <w:color w:val="000000"/>
          <w:spacing w:val="-2"/>
        </w:rPr>
      </w:pPr>
      <w:r w:rsidRPr="008C4B06">
        <w:rPr>
          <w:rFonts w:cs="Arial"/>
          <w:b/>
          <w:color w:val="000000"/>
          <w:spacing w:val="-2"/>
        </w:rPr>
        <w:t>Telefonní linky pro účely Strukturované sazby:</w:t>
      </w:r>
    </w:p>
    <w:p w:rsidR="001A6916" w:rsidRDefault="001A6916" w:rsidP="00C1506B">
      <w:pPr>
        <w:spacing w:after="120"/>
        <w:rPr>
          <w:rFonts w:cs="Arial"/>
          <w:color w:val="000000"/>
          <w:spacing w:val="-2"/>
        </w:rPr>
      </w:pPr>
    </w:p>
    <w:p w:rsidR="00C1506B" w:rsidRPr="008C4B06" w:rsidRDefault="00C1506B" w:rsidP="00C1506B">
      <w:pPr>
        <w:spacing w:after="120"/>
        <w:rPr>
          <w:rFonts w:cs="Arial"/>
          <w:color w:val="000000"/>
          <w:spacing w:val="-2"/>
        </w:rPr>
      </w:pPr>
      <w:r w:rsidRPr="008C4B06">
        <w:rPr>
          <w:rFonts w:cs="Arial"/>
          <w:color w:val="000000"/>
          <w:spacing w:val="-2"/>
        </w:rPr>
        <w:t>Informační linka:</w:t>
      </w:r>
    </w:p>
    <w:p w:rsidR="00481539" w:rsidRPr="008C4B06" w:rsidRDefault="00481539" w:rsidP="00A547CD">
      <w:pPr>
        <w:rPr>
          <w:rFonts w:cs="Arial"/>
        </w:rPr>
      </w:pPr>
    </w:p>
    <w:p w:rsidR="003D2046" w:rsidRPr="008C4B06" w:rsidRDefault="00C1506B" w:rsidP="003D2046">
      <w:pPr>
        <w:spacing w:after="120"/>
        <w:jc w:val="right"/>
        <w:rPr>
          <w:rFonts w:cs="Arial"/>
          <w:b/>
        </w:rPr>
      </w:pPr>
      <w:r w:rsidRPr="008C4B06">
        <w:rPr>
          <w:rFonts w:cs="Arial"/>
        </w:rPr>
        <w:br w:type="page"/>
      </w:r>
      <w:r w:rsidR="003D2046" w:rsidRPr="008C4B06">
        <w:rPr>
          <w:rFonts w:cs="Arial"/>
          <w:b/>
        </w:rPr>
        <w:lastRenderedPageBreak/>
        <w:t>PŘÍLOHA Č. 4</w:t>
      </w:r>
    </w:p>
    <w:tbl>
      <w:tblPr>
        <w:tblW w:w="0" w:type="auto"/>
        <w:tblLook w:val="01E0" w:firstRow="1" w:lastRow="1" w:firstColumn="1" w:lastColumn="1" w:noHBand="0" w:noVBand="0"/>
      </w:tblPr>
      <w:tblGrid>
        <w:gridCol w:w="4486"/>
        <w:gridCol w:w="4582"/>
      </w:tblGrid>
      <w:tr w:rsidR="003D2046" w:rsidRPr="00B06D8C" w:rsidTr="00B06D8C">
        <w:tc>
          <w:tcPr>
            <w:tcW w:w="4889" w:type="dxa"/>
            <w:tcBorders>
              <w:right w:val="single" w:sz="4" w:space="0" w:color="auto"/>
            </w:tcBorders>
          </w:tcPr>
          <w:p w:rsidR="003D2046" w:rsidRPr="00B06D8C" w:rsidRDefault="003D2046" w:rsidP="00B06D8C">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3D2046" w:rsidRPr="00B06D8C" w:rsidRDefault="007C7D9C" w:rsidP="00B06D8C">
            <w:pPr>
              <w:spacing w:before="120" w:after="120"/>
              <w:jc w:val="right"/>
              <w:rPr>
                <w:rFonts w:cs="Arial"/>
                <w:b/>
              </w:rPr>
            </w:pPr>
            <w:bookmarkStart w:id="75" w:name="registr_5"/>
            <w:bookmarkEnd w:id="75"/>
            <w:r>
              <w:rPr>
                <w:rFonts w:cs="Arial"/>
                <w:b/>
              </w:rPr>
              <w:t>99017949454</w:t>
            </w:r>
          </w:p>
        </w:tc>
      </w:tr>
      <w:tr w:rsidR="003D2046" w:rsidRPr="00B06D8C" w:rsidTr="00B06D8C">
        <w:tc>
          <w:tcPr>
            <w:tcW w:w="4889" w:type="dxa"/>
          </w:tcPr>
          <w:p w:rsidR="003D2046" w:rsidRPr="00B06D8C" w:rsidRDefault="003D2046" w:rsidP="00B06D8C">
            <w:pPr>
              <w:spacing w:before="40"/>
              <w:rPr>
                <w:rFonts w:cs="Arial"/>
                <w:sz w:val="16"/>
                <w:szCs w:val="16"/>
              </w:rPr>
            </w:pPr>
          </w:p>
        </w:tc>
        <w:tc>
          <w:tcPr>
            <w:tcW w:w="4890" w:type="dxa"/>
            <w:tcBorders>
              <w:top w:val="single" w:sz="4" w:space="0" w:color="auto"/>
            </w:tcBorders>
          </w:tcPr>
          <w:p w:rsidR="003D2046" w:rsidRPr="00B06D8C" w:rsidRDefault="003D2046" w:rsidP="00B06D8C">
            <w:pPr>
              <w:spacing w:before="40"/>
              <w:jc w:val="right"/>
              <w:rPr>
                <w:rFonts w:cs="Arial"/>
                <w:sz w:val="16"/>
                <w:szCs w:val="16"/>
              </w:rPr>
            </w:pPr>
            <w:r w:rsidRPr="00B06D8C">
              <w:rPr>
                <w:rFonts w:cs="Arial"/>
                <w:sz w:val="16"/>
                <w:szCs w:val="16"/>
              </w:rPr>
              <w:t>registrační číslo</w:t>
            </w:r>
          </w:p>
        </w:tc>
      </w:tr>
    </w:tbl>
    <w:p w:rsidR="003D2046" w:rsidRPr="008C4B06" w:rsidRDefault="003D2046" w:rsidP="003D2046">
      <w:pPr>
        <w:rPr>
          <w:rFonts w:cs="Arial"/>
        </w:rPr>
      </w:pPr>
    </w:p>
    <w:p w:rsidR="003D2046" w:rsidRPr="008C4B06" w:rsidRDefault="003D2046" w:rsidP="003D2046">
      <w:pPr>
        <w:spacing w:after="120"/>
        <w:rPr>
          <w:rFonts w:cs="Arial"/>
          <w:b/>
          <w:sz w:val="28"/>
          <w:szCs w:val="28"/>
        </w:rPr>
      </w:pPr>
      <w:r w:rsidRPr="008C4B06">
        <w:rPr>
          <w:rFonts w:cs="Arial"/>
          <w:b/>
          <w:sz w:val="28"/>
          <w:szCs w:val="28"/>
        </w:rPr>
        <w:t>KONTAKTNÍ ÚDAJE KLIENTA</w:t>
      </w:r>
    </w:p>
    <w:p w:rsidR="003D2046" w:rsidRPr="008C4B06" w:rsidRDefault="003D2046" w:rsidP="003D2046">
      <w:pPr>
        <w:rPr>
          <w:rFonts w:cs="Arial"/>
          <w:color w:val="000000"/>
          <w:spacing w:val="-2"/>
        </w:rPr>
      </w:pPr>
    </w:p>
    <w:p w:rsidR="003D2046" w:rsidRDefault="006F5903" w:rsidP="003D2046">
      <w:pPr>
        <w:spacing w:after="120"/>
        <w:rPr>
          <w:rFonts w:cs="Arial"/>
          <w:color w:val="000000"/>
          <w:spacing w:val="-2"/>
        </w:rPr>
      </w:pPr>
      <w:r>
        <w:rPr>
          <w:rFonts w:cs="Arial"/>
          <w:color w:val="000000"/>
          <w:spacing w:val="-2"/>
        </w:rPr>
        <w:t>Kontaktní</w:t>
      </w:r>
      <w:r w:rsidR="003D2046" w:rsidRPr="008C4B06">
        <w:rPr>
          <w:rFonts w:cs="Arial"/>
          <w:color w:val="000000"/>
          <w:spacing w:val="-2"/>
        </w:rPr>
        <w:t xml:space="preserve"> adresa</w:t>
      </w:r>
    </w:p>
    <w:p w:rsidR="00910D6F" w:rsidRPr="008C4B06" w:rsidRDefault="00910D6F" w:rsidP="003D2046">
      <w:pPr>
        <w:spacing w:after="120"/>
        <w:rPr>
          <w:rFonts w:cs="Arial"/>
          <w:color w:val="000000"/>
          <w:spacing w:val="-2"/>
        </w:rPr>
      </w:pPr>
      <w:r>
        <w:rPr>
          <w:rFonts w:cs="Arial"/>
          <w:color w:val="000000"/>
          <w:spacing w:val="-2"/>
        </w:rPr>
        <w:t>VESBYT s.r.o.</w:t>
      </w:r>
    </w:p>
    <w:p w:rsidR="003D2046" w:rsidRPr="008C4B06" w:rsidRDefault="007C7D9C" w:rsidP="003D2046">
      <w:pPr>
        <w:spacing w:after="120"/>
        <w:rPr>
          <w:rFonts w:cs="Arial"/>
          <w:color w:val="000000"/>
          <w:spacing w:val="-2"/>
        </w:rPr>
      </w:pPr>
      <w:r>
        <w:rPr>
          <w:rFonts w:cs="Arial"/>
          <w:color w:val="000000"/>
          <w:spacing w:val="-2"/>
        </w:rPr>
        <w:t>Blatnická 1527</w:t>
      </w:r>
    </w:p>
    <w:p w:rsidR="005B3883" w:rsidRPr="008C4B06" w:rsidRDefault="007C7D9C" w:rsidP="005B3883">
      <w:pPr>
        <w:spacing w:after="120"/>
        <w:rPr>
          <w:rFonts w:cs="Arial"/>
          <w:color w:val="000000"/>
          <w:spacing w:val="-2"/>
        </w:rPr>
      </w:pPr>
      <w:r>
        <w:rPr>
          <w:rFonts w:cs="Arial"/>
          <w:color w:val="000000"/>
          <w:spacing w:val="-2"/>
        </w:rPr>
        <w:t>698 01 Veselí nad Moravou</w:t>
      </w:r>
    </w:p>
    <w:p w:rsidR="003D2046" w:rsidRPr="008C4B06" w:rsidRDefault="003D2046" w:rsidP="003D2046">
      <w:pPr>
        <w:spacing w:after="120"/>
        <w:rPr>
          <w:rFonts w:cs="Arial"/>
          <w:color w:val="000000"/>
          <w:spacing w:val="-2"/>
        </w:rPr>
      </w:pPr>
    </w:p>
    <w:p w:rsidR="00910D6F" w:rsidRDefault="00910D6F" w:rsidP="003D2046">
      <w:pPr>
        <w:spacing w:after="120"/>
        <w:ind w:left="567" w:hanging="567"/>
        <w:rPr>
          <w:rFonts w:cs="Arial"/>
          <w:color w:val="000000"/>
          <w:spacing w:val="-2"/>
        </w:rPr>
      </w:pPr>
      <w:r>
        <w:rPr>
          <w:rFonts w:cs="Arial"/>
          <w:color w:val="000000"/>
          <w:spacing w:val="-2"/>
        </w:rPr>
        <w:t xml:space="preserve">kontaktní osoba </w:t>
      </w:r>
      <w:r w:rsidR="008759FF">
        <w:rPr>
          <w:rFonts w:cs="Arial"/>
          <w:color w:val="000000"/>
          <w:spacing w:val="-2"/>
        </w:rPr>
        <w:t xml:space="preserve">Mgr. Evelína Jochová </w:t>
      </w:r>
    </w:p>
    <w:p w:rsidR="003D2046" w:rsidRPr="00910D6F" w:rsidRDefault="00910D6F" w:rsidP="003D2046">
      <w:pPr>
        <w:spacing w:after="120"/>
        <w:ind w:left="567" w:hanging="567"/>
        <w:rPr>
          <w:rFonts w:cs="Arial"/>
          <w:color w:val="000000"/>
          <w:spacing w:val="-2"/>
        </w:rPr>
      </w:pPr>
      <w:r>
        <w:rPr>
          <w:rFonts w:cs="Arial"/>
          <w:color w:val="000000"/>
          <w:spacing w:val="-2"/>
        </w:rPr>
        <w:t xml:space="preserve">tel: </w:t>
      </w:r>
    </w:p>
    <w:p w:rsidR="003D2046" w:rsidRPr="008C4B06" w:rsidRDefault="00910D6F" w:rsidP="003D2046">
      <w:pPr>
        <w:spacing w:after="120"/>
        <w:ind w:left="567" w:hanging="567"/>
        <w:rPr>
          <w:rFonts w:cs="Arial"/>
          <w:color w:val="000000"/>
          <w:spacing w:val="-2"/>
        </w:rPr>
      </w:pPr>
      <w:r w:rsidRPr="00910D6F">
        <w:rPr>
          <w:rFonts w:cs="Arial"/>
          <w:color w:val="000000"/>
          <w:spacing w:val="-2"/>
        </w:rPr>
        <w:t>email</w:t>
      </w:r>
      <w:r w:rsidR="003D2046" w:rsidRPr="00910D6F">
        <w:rPr>
          <w:rFonts w:cs="Arial"/>
          <w:color w:val="000000"/>
          <w:spacing w:val="-2"/>
        </w:rPr>
        <w:t>:</w:t>
      </w:r>
      <w:r w:rsidR="003D2046" w:rsidRPr="00910D6F">
        <w:rPr>
          <w:rFonts w:cs="Arial"/>
          <w:color w:val="000000"/>
          <w:spacing w:val="-2"/>
        </w:rPr>
        <w:tab/>
      </w:r>
    </w:p>
    <w:p w:rsidR="003D2046" w:rsidRPr="008C4B06" w:rsidRDefault="003D2046" w:rsidP="003D2046">
      <w:pPr>
        <w:rPr>
          <w:rFonts w:cs="Arial"/>
        </w:rPr>
      </w:pPr>
    </w:p>
    <w:p w:rsidR="003E778C" w:rsidRPr="008C4B06" w:rsidRDefault="003D2046" w:rsidP="003E778C">
      <w:pPr>
        <w:spacing w:after="120"/>
        <w:jc w:val="right"/>
        <w:rPr>
          <w:rFonts w:cs="Arial"/>
          <w:b/>
        </w:rPr>
      </w:pPr>
      <w:r w:rsidRPr="008C4B06">
        <w:rPr>
          <w:rFonts w:cs="Arial"/>
        </w:rPr>
        <w:br w:type="page"/>
      </w:r>
      <w:r w:rsidR="003E778C" w:rsidRPr="008C4B06">
        <w:rPr>
          <w:rFonts w:cs="Arial"/>
          <w:b/>
        </w:rPr>
        <w:lastRenderedPageBreak/>
        <w:t>PŘÍLOHA Č. 5</w:t>
      </w:r>
    </w:p>
    <w:tbl>
      <w:tblPr>
        <w:tblW w:w="0" w:type="auto"/>
        <w:tblLook w:val="01E0" w:firstRow="1" w:lastRow="1" w:firstColumn="1" w:lastColumn="1" w:noHBand="0" w:noVBand="0"/>
      </w:tblPr>
      <w:tblGrid>
        <w:gridCol w:w="4486"/>
        <w:gridCol w:w="4582"/>
      </w:tblGrid>
      <w:tr w:rsidR="003E778C" w:rsidRPr="00B06D8C" w:rsidTr="00B06D8C">
        <w:tc>
          <w:tcPr>
            <w:tcW w:w="4889" w:type="dxa"/>
            <w:tcBorders>
              <w:right w:val="single" w:sz="4" w:space="0" w:color="auto"/>
            </w:tcBorders>
          </w:tcPr>
          <w:p w:rsidR="003E778C" w:rsidRPr="00B06D8C" w:rsidRDefault="003E778C" w:rsidP="00B06D8C">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3E778C" w:rsidRPr="00B06D8C" w:rsidRDefault="007C7D9C" w:rsidP="00B06D8C">
            <w:pPr>
              <w:spacing w:before="120" w:after="120"/>
              <w:jc w:val="right"/>
              <w:rPr>
                <w:rFonts w:cs="Arial"/>
                <w:b/>
              </w:rPr>
            </w:pPr>
            <w:bookmarkStart w:id="76" w:name="registr_6"/>
            <w:bookmarkEnd w:id="76"/>
            <w:r>
              <w:rPr>
                <w:rFonts w:cs="Arial"/>
                <w:b/>
              </w:rPr>
              <w:t>99017949454</w:t>
            </w:r>
          </w:p>
        </w:tc>
      </w:tr>
      <w:tr w:rsidR="003E778C" w:rsidRPr="00B06D8C" w:rsidTr="00B06D8C">
        <w:tc>
          <w:tcPr>
            <w:tcW w:w="4889" w:type="dxa"/>
          </w:tcPr>
          <w:p w:rsidR="003E778C" w:rsidRPr="00B06D8C" w:rsidRDefault="003E778C" w:rsidP="00B06D8C">
            <w:pPr>
              <w:spacing w:before="40"/>
              <w:rPr>
                <w:rFonts w:cs="Arial"/>
                <w:sz w:val="16"/>
                <w:szCs w:val="16"/>
              </w:rPr>
            </w:pPr>
          </w:p>
        </w:tc>
        <w:tc>
          <w:tcPr>
            <w:tcW w:w="4890" w:type="dxa"/>
            <w:tcBorders>
              <w:top w:val="single" w:sz="4" w:space="0" w:color="auto"/>
            </w:tcBorders>
          </w:tcPr>
          <w:p w:rsidR="003E778C" w:rsidRPr="00B06D8C" w:rsidRDefault="003E778C" w:rsidP="00B06D8C">
            <w:pPr>
              <w:spacing w:before="40"/>
              <w:jc w:val="right"/>
              <w:rPr>
                <w:rFonts w:cs="Arial"/>
                <w:sz w:val="16"/>
                <w:szCs w:val="16"/>
              </w:rPr>
            </w:pPr>
            <w:r w:rsidRPr="00B06D8C">
              <w:rPr>
                <w:rFonts w:cs="Arial"/>
                <w:sz w:val="16"/>
                <w:szCs w:val="16"/>
              </w:rPr>
              <w:t>registrační číslo</w:t>
            </w:r>
          </w:p>
        </w:tc>
      </w:tr>
    </w:tbl>
    <w:p w:rsidR="003E778C" w:rsidRPr="008C4B06" w:rsidRDefault="003E778C" w:rsidP="003E778C">
      <w:pPr>
        <w:rPr>
          <w:rFonts w:cs="Arial"/>
        </w:rPr>
      </w:pPr>
    </w:p>
    <w:p w:rsidR="003E778C" w:rsidRPr="008C4B06" w:rsidRDefault="003E778C" w:rsidP="003E778C">
      <w:pPr>
        <w:spacing w:after="120"/>
        <w:rPr>
          <w:rFonts w:cs="Arial"/>
          <w:b/>
          <w:sz w:val="28"/>
          <w:szCs w:val="28"/>
        </w:rPr>
      </w:pPr>
      <w:r w:rsidRPr="008C4B06">
        <w:rPr>
          <w:rFonts w:cs="Arial"/>
          <w:b/>
          <w:sz w:val="28"/>
          <w:szCs w:val="28"/>
        </w:rPr>
        <w:t>PODPISOVÝ VZOR KLIENTA</w:t>
      </w:r>
    </w:p>
    <w:p w:rsidR="003E778C" w:rsidRPr="008C4B06" w:rsidRDefault="003E778C" w:rsidP="003E778C">
      <w:pPr>
        <w:rPr>
          <w:rFonts w:cs="Arial"/>
          <w:bCs/>
        </w:rPr>
      </w:pPr>
    </w:p>
    <w:p w:rsidR="007C7D9C" w:rsidRDefault="007C7D9C" w:rsidP="007C7D9C">
      <w:bookmarkStart w:id="77" w:name="hlava_1"/>
      <w:bookmarkEnd w:id="77"/>
      <w:r>
        <w:rPr>
          <w:b/>
        </w:rPr>
        <w:t>právnická osoba</w:t>
      </w:r>
      <w:r>
        <w:t xml:space="preserve"> (dále jen „</w:t>
      </w:r>
      <w:r w:rsidRPr="0040150E">
        <w:rPr>
          <w:b/>
        </w:rPr>
        <w:t>Klient</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637"/>
        <w:gridCol w:w="6426"/>
      </w:tblGrid>
      <w:tr w:rsidR="007C7D9C" w:rsidTr="00F60B34">
        <w:tc>
          <w:tcPr>
            <w:tcW w:w="2802" w:type="dxa"/>
            <w:shd w:val="clear" w:color="auto" w:fill="auto"/>
            <w:vAlign w:val="center"/>
          </w:tcPr>
          <w:p w:rsidR="007C7D9C" w:rsidRDefault="007C7D9C" w:rsidP="00F60B34">
            <w:pPr>
              <w:spacing w:before="40" w:after="40"/>
            </w:pPr>
            <w:r w:rsidRPr="00F60B34">
              <w:rPr>
                <w:sz w:val="16"/>
              </w:rPr>
              <w:t>Obchodní firma* / název**:</w:t>
            </w:r>
          </w:p>
        </w:tc>
        <w:tc>
          <w:tcPr>
            <w:tcW w:w="6977" w:type="dxa"/>
            <w:shd w:val="clear" w:color="auto" w:fill="auto"/>
            <w:vAlign w:val="center"/>
          </w:tcPr>
          <w:p w:rsidR="007C7D9C" w:rsidRPr="00F60B34" w:rsidRDefault="0039237F" w:rsidP="00F60B34">
            <w:pPr>
              <w:spacing w:before="40" w:after="40"/>
              <w:rPr>
                <w:b/>
              </w:rPr>
            </w:pPr>
            <w:r w:rsidRPr="00F60B34">
              <w:rPr>
                <w:b/>
              </w:rPr>
              <w:t>VESBYT S.R.O.</w:t>
            </w:r>
          </w:p>
        </w:tc>
      </w:tr>
      <w:tr w:rsidR="007C7D9C" w:rsidTr="00F60B34">
        <w:tc>
          <w:tcPr>
            <w:tcW w:w="2802" w:type="dxa"/>
            <w:shd w:val="clear" w:color="auto" w:fill="auto"/>
            <w:vAlign w:val="center"/>
          </w:tcPr>
          <w:p w:rsidR="007C7D9C" w:rsidRDefault="007C7D9C" w:rsidP="00F60B34">
            <w:pPr>
              <w:spacing w:before="40" w:after="40"/>
            </w:pPr>
            <w:r w:rsidRPr="00F60B34">
              <w:rPr>
                <w:sz w:val="16"/>
              </w:rPr>
              <w:t>Sídlo:</w:t>
            </w:r>
          </w:p>
        </w:tc>
        <w:tc>
          <w:tcPr>
            <w:tcW w:w="6977" w:type="dxa"/>
            <w:shd w:val="clear" w:color="auto" w:fill="auto"/>
            <w:vAlign w:val="center"/>
          </w:tcPr>
          <w:p w:rsidR="007C7D9C" w:rsidRPr="00F60B34" w:rsidRDefault="0039237F" w:rsidP="00F60B34">
            <w:pPr>
              <w:spacing w:before="40" w:after="40"/>
              <w:rPr>
                <w:b/>
              </w:rPr>
            </w:pPr>
            <w:r w:rsidRPr="00F60B34">
              <w:rPr>
                <w:b/>
              </w:rPr>
              <w:t>BLATNICKÁ 1527, 698 01 VESELÍ NAD MORAVOU, CZ</w:t>
            </w:r>
          </w:p>
        </w:tc>
      </w:tr>
      <w:tr w:rsidR="007C7D9C" w:rsidTr="00F60B34">
        <w:tc>
          <w:tcPr>
            <w:tcW w:w="2802" w:type="dxa"/>
            <w:shd w:val="clear" w:color="auto" w:fill="auto"/>
            <w:vAlign w:val="center"/>
          </w:tcPr>
          <w:p w:rsidR="007C7D9C" w:rsidRDefault="007C7D9C" w:rsidP="00F60B34">
            <w:pPr>
              <w:spacing w:before="40" w:after="40"/>
            </w:pPr>
            <w:r w:rsidRPr="00F60B34">
              <w:rPr>
                <w:sz w:val="16"/>
              </w:rPr>
              <w:t>IČO:</w:t>
            </w:r>
          </w:p>
        </w:tc>
        <w:tc>
          <w:tcPr>
            <w:tcW w:w="6977" w:type="dxa"/>
            <w:shd w:val="clear" w:color="auto" w:fill="auto"/>
            <w:vAlign w:val="center"/>
          </w:tcPr>
          <w:p w:rsidR="007C7D9C" w:rsidRPr="00F60B34" w:rsidRDefault="0039237F" w:rsidP="00F60B34">
            <w:pPr>
              <w:spacing w:before="40" w:after="40"/>
              <w:rPr>
                <w:b/>
              </w:rPr>
            </w:pPr>
            <w:r w:rsidRPr="00F60B34">
              <w:rPr>
                <w:b/>
              </w:rPr>
              <w:t>63494876</w:t>
            </w:r>
          </w:p>
        </w:tc>
      </w:tr>
      <w:tr w:rsidR="007C7D9C" w:rsidTr="00F60B34">
        <w:tc>
          <w:tcPr>
            <w:tcW w:w="2802" w:type="dxa"/>
            <w:shd w:val="clear" w:color="auto" w:fill="auto"/>
            <w:vAlign w:val="center"/>
          </w:tcPr>
          <w:p w:rsidR="007C7D9C" w:rsidRDefault="007C7D9C" w:rsidP="00F60B34">
            <w:pPr>
              <w:spacing w:before="40" w:after="40"/>
            </w:pPr>
            <w:r w:rsidRPr="00F60B34">
              <w:rPr>
                <w:sz w:val="16"/>
              </w:rPr>
              <w:t>Zápis v obchodním rejstříku či jiné evidenci, včetně spisové značky:</w:t>
            </w:r>
          </w:p>
        </w:tc>
        <w:tc>
          <w:tcPr>
            <w:tcW w:w="6977" w:type="dxa"/>
            <w:shd w:val="clear" w:color="auto" w:fill="auto"/>
            <w:vAlign w:val="center"/>
          </w:tcPr>
          <w:p w:rsidR="007C7D9C" w:rsidRPr="00F60B34" w:rsidRDefault="0039237F" w:rsidP="00F60B34">
            <w:pPr>
              <w:spacing w:before="40" w:after="40"/>
              <w:rPr>
                <w:b/>
              </w:rPr>
            </w:pPr>
            <w:r w:rsidRPr="00F60B34">
              <w:rPr>
                <w:b/>
              </w:rPr>
              <w:t>Výpis z obchodního rejstříku, vedeného Krajským soudem v Brně oddíl C, vložka 22270</w:t>
            </w:r>
          </w:p>
        </w:tc>
      </w:tr>
    </w:tbl>
    <w:p w:rsidR="007C7D9C" w:rsidRDefault="007C7D9C" w:rsidP="007C7D9C">
      <w:pPr>
        <w:rPr>
          <w:sz w:val="16"/>
        </w:rPr>
      </w:pPr>
      <w:r>
        <w:rPr>
          <w:sz w:val="16"/>
        </w:rPr>
        <w:t>*je-li Klient zapsán v obchodním rejstříku; **není-li Klient zapsán v obchodním rejstříku</w:t>
      </w:r>
    </w:p>
    <w:p w:rsidR="007C7D9C" w:rsidRDefault="007C7D9C" w:rsidP="007C7D9C"/>
    <w:p w:rsidR="00C1506B" w:rsidRPr="008C4B06" w:rsidRDefault="00C1506B" w:rsidP="00A547C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2483"/>
        <w:gridCol w:w="1597"/>
        <w:gridCol w:w="2043"/>
      </w:tblGrid>
      <w:tr w:rsidR="003E778C" w:rsidRPr="00B06D8C" w:rsidTr="00B06D8C">
        <w:tc>
          <w:tcPr>
            <w:tcW w:w="3227" w:type="dxa"/>
            <w:vAlign w:val="center"/>
          </w:tcPr>
          <w:p w:rsidR="003E778C" w:rsidRPr="00B06D8C" w:rsidRDefault="003E778C" w:rsidP="00B06D8C">
            <w:pPr>
              <w:spacing w:before="60" w:after="60"/>
              <w:jc w:val="left"/>
              <w:rPr>
                <w:rFonts w:cs="Arial"/>
              </w:rPr>
            </w:pPr>
            <w:r w:rsidRPr="00B06D8C">
              <w:rPr>
                <w:rFonts w:cs="Arial"/>
              </w:rPr>
              <w:t>Jméno, příjmení</w:t>
            </w:r>
          </w:p>
        </w:tc>
        <w:tc>
          <w:tcPr>
            <w:tcW w:w="2693" w:type="dxa"/>
            <w:vAlign w:val="center"/>
          </w:tcPr>
          <w:p w:rsidR="003E778C" w:rsidRPr="00B06D8C" w:rsidRDefault="003E778C" w:rsidP="00B06D8C">
            <w:pPr>
              <w:spacing w:before="60" w:after="60"/>
              <w:jc w:val="left"/>
              <w:rPr>
                <w:rFonts w:cs="Arial"/>
              </w:rPr>
            </w:pPr>
            <w:r w:rsidRPr="00B06D8C">
              <w:rPr>
                <w:rFonts w:cs="Arial"/>
              </w:rPr>
              <w:t>Rodné číslo (datum narození, není-li rodné číslo)</w:t>
            </w:r>
          </w:p>
        </w:tc>
        <w:tc>
          <w:tcPr>
            <w:tcW w:w="1701" w:type="dxa"/>
            <w:vAlign w:val="center"/>
          </w:tcPr>
          <w:p w:rsidR="003E778C" w:rsidRPr="00B06D8C" w:rsidRDefault="003E778C" w:rsidP="00B06D8C">
            <w:pPr>
              <w:spacing w:before="60" w:after="60"/>
              <w:jc w:val="left"/>
              <w:rPr>
                <w:rFonts w:cs="Arial"/>
              </w:rPr>
            </w:pPr>
            <w:r w:rsidRPr="00B06D8C">
              <w:rPr>
                <w:rFonts w:cs="Arial"/>
              </w:rPr>
              <w:t>Funkce</w:t>
            </w:r>
          </w:p>
        </w:tc>
        <w:tc>
          <w:tcPr>
            <w:tcW w:w="2158" w:type="dxa"/>
            <w:vAlign w:val="center"/>
          </w:tcPr>
          <w:p w:rsidR="003E778C" w:rsidRPr="00B06D8C" w:rsidRDefault="003E778C" w:rsidP="00B06D8C">
            <w:pPr>
              <w:spacing w:before="60" w:after="60"/>
              <w:jc w:val="left"/>
              <w:rPr>
                <w:rFonts w:cs="Arial"/>
              </w:rPr>
            </w:pPr>
            <w:r w:rsidRPr="00B06D8C">
              <w:rPr>
                <w:rFonts w:cs="Arial"/>
              </w:rPr>
              <w:t>Vlastnoruční podpis</w:t>
            </w:r>
          </w:p>
        </w:tc>
      </w:tr>
      <w:tr w:rsidR="003E778C" w:rsidRPr="00B06D8C" w:rsidTr="00B06D8C">
        <w:tc>
          <w:tcPr>
            <w:tcW w:w="3227" w:type="dxa"/>
            <w:vAlign w:val="center"/>
          </w:tcPr>
          <w:p w:rsidR="003E778C" w:rsidRPr="00B06D8C" w:rsidRDefault="003E778C" w:rsidP="00B06D8C">
            <w:pPr>
              <w:spacing w:before="120" w:after="120"/>
              <w:rPr>
                <w:rFonts w:cs="Arial"/>
              </w:rPr>
            </w:pPr>
            <w:r w:rsidRPr="00B06D8C">
              <w:rPr>
                <w:rFonts w:cs="Arial"/>
              </w:rPr>
              <w:t>A)</w:t>
            </w:r>
          </w:p>
        </w:tc>
        <w:tc>
          <w:tcPr>
            <w:tcW w:w="2693" w:type="dxa"/>
            <w:vAlign w:val="center"/>
          </w:tcPr>
          <w:p w:rsidR="003E778C" w:rsidRPr="00B06D8C" w:rsidRDefault="003E778C" w:rsidP="00B06D8C">
            <w:pPr>
              <w:spacing w:before="120" w:after="120"/>
              <w:rPr>
                <w:rFonts w:cs="Arial"/>
              </w:rPr>
            </w:pPr>
          </w:p>
        </w:tc>
        <w:tc>
          <w:tcPr>
            <w:tcW w:w="1701" w:type="dxa"/>
            <w:vAlign w:val="center"/>
          </w:tcPr>
          <w:p w:rsidR="003E778C" w:rsidRPr="00B06D8C" w:rsidRDefault="003E778C" w:rsidP="00B06D8C">
            <w:pPr>
              <w:spacing w:before="120" w:after="120"/>
              <w:rPr>
                <w:rFonts w:cs="Arial"/>
              </w:rPr>
            </w:pPr>
          </w:p>
        </w:tc>
        <w:tc>
          <w:tcPr>
            <w:tcW w:w="2158" w:type="dxa"/>
            <w:vAlign w:val="center"/>
          </w:tcPr>
          <w:p w:rsidR="003E778C" w:rsidRPr="00B06D8C" w:rsidRDefault="003E778C" w:rsidP="00B06D8C">
            <w:pPr>
              <w:spacing w:before="120" w:after="120"/>
              <w:rPr>
                <w:rFonts w:cs="Arial"/>
              </w:rPr>
            </w:pPr>
          </w:p>
        </w:tc>
      </w:tr>
      <w:tr w:rsidR="003E778C" w:rsidRPr="00B06D8C" w:rsidTr="00B06D8C">
        <w:tc>
          <w:tcPr>
            <w:tcW w:w="3227" w:type="dxa"/>
            <w:vAlign w:val="center"/>
          </w:tcPr>
          <w:p w:rsidR="003E778C" w:rsidRPr="00B06D8C" w:rsidRDefault="003E778C" w:rsidP="00B06D8C">
            <w:pPr>
              <w:spacing w:before="120" w:after="120"/>
              <w:rPr>
                <w:rFonts w:cs="Arial"/>
              </w:rPr>
            </w:pPr>
            <w:r w:rsidRPr="00B06D8C">
              <w:rPr>
                <w:rFonts w:cs="Arial"/>
              </w:rPr>
              <w:t>A)</w:t>
            </w:r>
          </w:p>
        </w:tc>
        <w:tc>
          <w:tcPr>
            <w:tcW w:w="2693" w:type="dxa"/>
            <w:vAlign w:val="center"/>
          </w:tcPr>
          <w:p w:rsidR="003E778C" w:rsidRPr="00B06D8C" w:rsidRDefault="003E778C" w:rsidP="00B06D8C">
            <w:pPr>
              <w:spacing w:before="120" w:after="120"/>
              <w:rPr>
                <w:rFonts w:cs="Arial"/>
              </w:rPr>
            </w:pPr>
          </w:p>
        </w:tc>
        <w:tc>
          <w:tcPr>
            <w:tcW w:w="1701" w:type="dxa"/>
            <w:vAlign w:val="center"/>
          </w:tcPr>
          <w:p w:rsidR="003E778C" w:rsidRPr="00B06D8C" w:rsidRDefault="003E778C" w:rsidP="00B06D8C">
            <w:pPr>
              <w:spacing w:before="120" w:after="120"/>
              <w:rPr>
                <w:rFonts w:cs="Arial"/>
              </w:rPr>
            </w:pPr>
          </w:p>
        </w:tc>
        <w:tc>
          <w:tcPr>
            <w:tcW w:w="2158" w:type="dxa"/>
            <w:vAlign w:val="center"/>
          </w:tcPr>
          <w:p w:rsidR="003E778C" w:rsidRPr="00B06D8C" w:rsidRDefault="003E778C" w:rsidP="00B06D8C">
            <w:pPr>
              <w:spacing w:before="120" w:after="120"/>
              <w:rPr>
                <w:rFonts w:cs="Arial"/>
              </w:rPr>
            </w:pPr>
          </w:p>
        </w:tc>
      </w:tr>
      <w:tr w:rsidR="003E778C" w:rsidRPr="00B06D8C" w:rsidTr="00B06D8C">
        <w:tc>
          <w:tcPr>
            <w:tcW w:w="3227" w:type="dxa"/>
            <w:vAlign w:val="center"/>
          </w:tcPr>
          <w:p w:rsidR="003E778C" w:rsidRPr="00B06D8C" w:rsidRDefault="003E778C" w:rsidP="00B06D8C">
            <w:pPr>
              <w:spacing w:before="120" w:after="120"/>
              <w:rPr>
                <w:rFonts w:cs="Arial"/>
              </w:rPr>
            </w:pPr>
            <w:r w:rsidRPr="00B06D8C">
              <w:rPr>
                <w:rFonts w:cs="Arial"/>
              </w:rPr>
              <w:t>B)</w:t>
            </w:r>
          </w:p>
        </w:tc>
        <w:tc>
          <w:tcPr>
            <w:tcW w:w="2693" w:type="dxa"/>
            <w:vAlign w:val="center"/>
          </w:tcPr>
          <w:p w:rsidR="003E778C" w:rsidRPr="00B06D8C" w:rsidRDefault="003E778C" w:rsidP="00B06D8C">
            <w:pPr>
              <w:spacing w:before="120" w:after="120"/>
              <w:rPr>
                <w:rFonts w:cs="Arial"/>
              </w:rPr>
            </w:pPr>
          </w:p>
        </w:tc>
        <w:tc>
          <w:tcPr>
            <w:tcW w:w="1701" w:type="dxa"/>
            <w:vAlign w:val="center"/>
          </w:tcPr>
          <w:p w:rsidR="003E778C" w:rsidRPr="00B06D8C" w:rsidRDefault="003E778C" w:rsidP="00B06D8C">
            <w:pPr>
              <w:spacing w:before="120" w:after="120"/>
              <w:rPr>
                <w:rFonts w:cs="Arial"/>
              </w:rPr>
            </w:pPr>
          </w:p>
        </w:tc>
        <w:tc>
          <w:tcPr>
            <w:tcW w:w="2158" w:type="dxa"/>
            <w:vAlign w:val="center"/>
          </w:tcPr>
          <w:p w:rsidR="003E778C" w:rsidRPr="00B06D8C" w:rsidRDefault="003E778C" w:rsidP="00B06D8C">
            <w:pPr>
              <w:spacing w:before="120" w:after="120"/>
              <w:rPr>
                <w:rFonts w:cs="Arial"/>
              </w:rPr>
            </w:pPr>
          </w:p>
        </w:tc>
      </w:tr>
      <w:tr w:rsidR="003E778C" w:rsidRPr="00B06D8C" w:rsidTr="00B06D8C">
        <w:tc>
          <w:tcPr>
            <w:tcW w:w="3227" w:type="dxa"/>
            <w:vAlign w:val="center"/>
          </w:tcPr>
          <w:p w:rsidR="003E778C" w:rsidRPr="00B06D8C" w:rsidRDefault="003E778C" w:rsidP="00B06D8C">
            <w:pPr>
              <w:spacing w:before="120" w:after="120"/>
              <w:rPr>
                <w:rFonts w:cs="Arial"/>
              </w:rPr>
            </w:pPr>
            <w:r w:rsidRPr="00B06D8C">
              <w:rPr>
                <w:rFonts w:cs="Arial"/>
              </w:rPr>
              <w:t>B)</w:t>
            </w:r>
          </w:p>
        </w:tc>
        <w:tc>
          <w:tcPr>
            <w:tcW w:w="2693" w:type="dxa"/>
            <w:vAlign w:val="center"/>
          </w:tcPr>
          <w:p w:rsidR="003E778C" w:rsidRPr="00B06D8C" w:rsidRDefault="003E778C" w:rsidP="00B06D8C">
            <w:pPr>
              <w:spacing w:before="120" w:after="120"/>
              <w:rPr>
                <w:rFonts w:cs="Arial"/>
              </w:rPr>
            </w:pPr>
          </w:p>
        </w:tc>
        <w:tc>
          <w:tcPr>
            <w:tcW w:w="1701" w:type="dxa"/>
            <w:vAlign w:val="center"/>
          </w:tcPr>
          <w:p w:rsidR="003E778C" w:rsidRPr="00B06D8C" w:rsidRDefault="003E778C" w:rsidP="00B06D8C">
            <w:pPr>
              <w:spacing w:before="120" w:after="120"/>
              <w:rPr>
                <w:rFonts w:cs="Arial"/>
              </w:rPr>
            </w:pPr>
          </w:p>
        </w:tc>
        <w:tc>
          <w:tcPr>
            <w:tcW w:w="2158" w:type="dxa"/>
            <w:vAlign w:val="center"/>
          </w:tcPr>
          <w:p w:rsidR="003E778C" w:rsidRPr="00B06D8C" w:rsidRDefault="003E778C" w:rsidP="00B06D8C">
            <w:pPr>
              <w:spacing w:before="120" w:after="120"/>
              <w:rPr>
                <w:rFonts w:cs="Arial"/>
              </w:rPr>
            </w:pPr>
          </w:p>
        </w:tc>
      </w:tr>
      <w:tr w:rsidR="003E778C" w:rsidRPr="00B06D8C" w:rsidTr="00B06D8C">
        <w:tc>
          <w:tcPr>
            <w:tcW w:w="3227" w:type="dxa"/>
            <w:vAlign w:val="center"/>
          </w:tcPr>
          <w:p w:rsidR="003E778C" w:rsidRPr="00B06D8C" w:rsidRDefault="003E778C" w:rsidP="00B06D8C">
            <w:pPr>
              <w:spacing w:before="120" w:after="120"/>
              <w:rPr>
                <w:rFonts w:cs="Arial"/>
              </w:rPr>
            </w:pPr>
            <w:r w:rsidRPr="00B06D8C">
              <w:rPr>
                <w:rFonts w:cs="Arial"/>
              </w:rPr>
              <w:t>C)</w:t>
            </w:r>
          </w:p>
        </w:tc>
        <w:tc>
          <w:tcPr>
            <w:tcW w:w="2693" w:type="dxa"/>
            <w:vAlign w:val="center"/>
          </w:tcPr>
          <w:p w:rsidR="009F2657" w:rsidRPr="00B06D8C" w:rsidRDefault="009F2657" w:rsidP="00B06D8C">
            <w:pPr>
              <w:spacing w:before="120" w:after="120"/>
              <w:rPr>
                <w:rFonts w:cs="Arial"/>
              </w:rPr>
            </w:pPr>
            <w:bookmarkStart w:id="78" w:name="_GoBack"/>
            <w:bookmarkEnd w:id="78"/>
          </w:p>
        </w:tc>
        <w:tc>
          <w:tcPr>
            <w:tcW w:w="1701" w:type="dxa"/>
            <w:vAlign w:val="center"/>
          </w:tcPr>
          <w:p w:rsidR="003E778C" w:rsidRPr="00B06D8C" w:rsidRDefault="0039237F" w:rsidP="00B06D8C">
            <w:pPr>
              <w:spacing w:before="120" w:after="120"/>
              <w:rPr>
                <w:rFonts w:cs="Arial"/>
              </w:rPr>
            </w:pPr>
            <w:r>
              <w:rPr>
                <w:rFonts w:cs="Arial"/>
              </w:rPr>
              <w:t>jednatel</w:t>
            </w:r>
          </w:p>
        </w:tc>
        <w:tc>
          <w:tcPr>
            <w:tcW w:w="2158" w:type="dxa"/>
            <w:vAlign w:val="center"/>
          </w:tcPr>
          <w:p w:rsidR="003E778C" w:rsidRPr="00B06D8C" w:rsidRDefault="003E778C" w:rsidP="00B06D8C">
            <w:pPr>
              <w:spacing w:before="120" w:after="120"/>
              <w:rPr>
                <w:rFonts w:cs="Arial"/>
              </w:rPr>
            </w:pPr>
          </w:p>
        </w:tc>
      </w:tr>
      <w:tr w:rsidR="003E778C" w:rsidRPr="00B06D8C" w:rsidTr="00B06D8C">
        <w:tc>
          <w:tcPr>
            <w:tcW w:w="3227" w:type="dxa"/>
            <w:vAlign w:val="center"/>
          </w:tcPr>
          <w:p w:rsidR="003E778C" w:rsidRPr="00B06D8C" w:rsidRDefault="003E778C" w:rsidP="00B06D8C">
            <w:pPr>
              <w:spacing w:before="120" w:after="120"/>
              <w:rPr>
                <w:rFonts w:cs="Arial"/>
              </w:rPr>
            </w:pPr>
            <w:r w:rsidRPr="00B06D8C">
              <w:rPr>
                <w:rFonts w:cs="Arial"/>
              </w:rPr>
              <w:t>C)</w:t>
            </w:r>
          </w:p>
        </w:tc>
        <w:tc>
          <w:tcPr>
            <w:tcW w:w="2693" w:type="dxa"/>
            <w:vAlign w:val="center"/>
          </w:tcPr>
          <w:p w:rsidR="003E778C" w:rsidRPr="00B06D8C" w:rsidRDefault="003E778C" w:rsidP="00B06D8C">
            <w:pPr>
              <w:spacing w:before="120" w:after="120"/>
              <w:rPr>
                <w:rFonts w:cs="Arial"/>
              </w:rPr>
            </w:pPr>
          </w:p>
        </w:tc>
        <w:tc>
          <w:tcPr>
            <w:tcW w:w="1701" w:type="dxa"/>
            <w:vAlign w:val="center"/>
          </w:tcPr>
          <w:p w:rsidR="003E778C" w:rsidRPr="00B06D8C" w:rsidRDefault="003E778C" w:rsidP="00B06D8C">
            <w:pPr>
              <w:spacing w:before="120" w:after="120"/>
              <w:rPr>
                <w:rFonts w:cs="Arial"/>
              </w:rPr>
            </w:pPr>
          </w:p>
        </w:tc>
        <w:tc>
          <w:tcPr>
            <w:tcW w:w="2158" w:type="dxa"/>
            <w:vAlign w:val="center"/>
          </w:tcPr>
          <w:p w:rsidR="003E778C" w:rsidRPr="00B06D8C" w:rsidRDefault="003E778C" w:rsidP="00B06D8C">
            <w:pPr>
              <w:spacing w:before="120" w:after="120"/>
              <w:rPr>
                <w:rFonts w:cs="Arial"/>
              </w:rPr>
            </w:pPr>
          </w:p>
        </w:tc>
      </w:tr>
    </w:tbl>
    <w:p w:rsidR="003E778C" w:rsidRPr="008C4B06" w:rsidRDefault="003E778C" w:rsidP="00A547CD">
      <w:pPr>
        <w:rPr>
          <w:rFonts w:cs="Arial"/>
        </w:rPr>
      </w:pPr>
    </w:p>
    <w:p w:rsidR="003E778C" w:rsidRPr="008C4B06" w:rsidRDefault="003E778C" w:rsidP="003E778C">
      <w:pPr>
        <w:spacing w:after="60"/>
        <w:ind w:left="284" w:hanging="284"/>
        <w:rPr>
          <w:rFonts w:cs="Arial"/>
          <w:sz w:val="16"/>
          <w:szCs w:val="16"/>
        </w:rPr>
      </w:pPr>
      <w:r w:rsidRPr="008C4B06">
        <w:rPr>
          <w:rFonts w:cs="Arial"/>
          <w:sz w:val="16"/>
          <w:szCs w:val="16"/>
        </w:rPr>
        <w:t xml:space="preserve">A) </w:t>
      </w:r>
      <w:r w:rsidRPr="008C4B06">
        <w:rPr>
          <w:rFonts w:cs="Arial"/>
          <w:sz w:val="16"/>
          <w:szCs w:val="16"/>
        </w:rPr>
        <w:tab/>
        <w:t xml:space="preserve">Osoba oprávněná </w:t>
      </w:r>
      <w:r w:rsidR="006F5903">
        <w:rPr>
          <w:rFonts w:cs="Arial"/>
          <w:sz w:val="16"/>
          <w:szCs w:val="16"/>
        </w:rPr>
        <w:t>za</w:t>
      </w:r>
      <w:r w:rsidRPr="008C4B06">
        <w:rPr>
          <w:rFonts w:cs="Arial"/>
          <w:sz w:val="16"/>
          <w:szCs w:val="16"/>
        </w:rPr>
        <w:t xml:space="preserve"> Klienta sjednávat, měnit a předčasně ukončovat Strukturovanou sazbu a měnit Splátkový plán po dobu uplatňování Strukturované sazby</w:t>
      </w:r>
    </w:p>
    <w:p w:rsidR="003E778C" w:rsidRPr="008C4B06" w:rsidRDefault="003E778C" w:rsidP="003E778C">
      <w:pPr>
        <w:spacing w:after="60"/>
        <w:ind w:left="284" w:hanging="284"/>
        <w:rPr>
          <w:rFonts w:cs="Arial"/>
          <w:sz w:val="16"/>
          <w:szCs w:val="16"/>
        </w:rPr>
      </w:pPr>
      <w:r w:rsidRPr="008C4B06">
        <w:rPr>
          <w:rFonts w:cs="Arial"/>
          <w:sz w:val="16"/>
          <w:szCs w:val="16"/>
        </w:rPr>
        <w:t xml:space="preserve">B) </w:t>
      </w:r>
      <w:r w:rsidRPr="008C4B06">
        <w:rPr>
          <w:rFonts w:cs="Arial"/>
          <w:sz w:val="16"/>
          <w:szCs w:val="16"/>
        </w:rPr>
        <w:tab/>
        <w:t xml:space="preserve">Osoba oprávněná podepisovat </w:t>
      </w:r>
      <w:r w:rsidR="006F5903">
        <w:rPr>
          <w:rFonts w:cs="Arial"/>
          <w:sz w:val="16"/>
          <w:szCs w:val="16"/>
        </w:rPr>
        <w:t>za</w:t>
      </w:r>
      <w:r w:rsidRPr="008C4B06">
        <w:rPr>
          <w:rFonts w:cs="Arial"/>
          <w:sz w:val="16"/>
          <w:szCs w:val="16"/>
        </w:rPr>
        <w:t xml:space="preserve"> Klienta Potvrzení</w:t>
      </w:r>
    </w:p>
    <w:p w:rsidR="003E778C" w:rsidRPr="008C4B06" w:rsidRDefault="003E778C" w:rsidP="003E778C">
      <w:pPr>
        <w:spacing w:after="60"/>
        <w:ind w:left="284" w:hanging="284"/>
        <w:rPr>
          <w:rFonts w:cs="Arial"/>
          <w:sz w:val="16"/>
          <w:szCs w:val="16"/>
        </w:rPr>
      </w:pPr>
      <w:r w:rsidRPr="008C4B06">
        <w:rPr>
          <w:rFonts w:cs="Arial"/>
          <w:sz w:val="16"/>
          <w:szCs w:val="16"/>
        </w:rPr>
        <w:t xml:space="preserve">C) </w:t>
      </w:r>
      <w:r w:rsidRPr="008C4B06">
        <w:rPr>
          <w:rFonts w:cs="Arial"/>
          <w:sz w:val="16"/>
          <w:szCs w:val="16"/>
        </w:rPr>
        <w:tab/>
        <w:t>Osoba s oprávněním A) a B)</w:t>
      </w:r>
    </w:p>
    <w:p w:rsidR="003E778C" w:rsidRPr="008C4B06" w:rsidRDefault="003E778C" w:rsidP="003E778C">
      <w:pPr>
        <w:spacing w:before="120" w:after="120"/>
        <w:rPr>
          <w:rFonts w:cs="Arial"/>
          <w:b/>
        </w:rPr>
      </w:pPr>
      <w:r w:rsidRPr="008C4B06">
        <w:rPr>
          <w:rFonts w:cs="Arial"/>
          <w:b/>
        </w:rPr>
        <w:t>Prohlášení Klienta:</w:t>
      </w:r>
    </w:p>
    <w:p w:rsidR="003E778C" w:rsidRPr="008C4B06" w:rsidRDefault="003E778C" w:rsidP="003E778C">
      <w:pPr>
        <w:spacing w:after="120"/>
        <w:rPr>
          <w:rFonts w:cs="Arial"/>
        </w:rPr>
      </w:pPr>
      <w:r w:rsidRPr="008C4B06">
        <w:rPr>
          <w:rFonts w:cs="Arial"/>
        </w:rPr>
        <w:t>Pro případ, že některá z výše uvedených osob není statutárním orgánem Klienta oprávněným jednat ve shora uvedených záležitostech samostatně nebo jeho zákonným zástupcem, uděluje tímto Klient takové osobě plnou moc k jednání za Klienta v rozsahu vymezeném výše. Klient tímto potvrzuje, že podpisové vzory jsou podepsány oprávněnými osobami, jejich podpisy jsou pravé, data narození nebo rodná čísla a funkce těchto osob odpovídají skutečnosti. Klient bere na vědomí, že Banka neodpovídá za škody vzniklé z neoprávněně či nesprávně vyplněných údajů.</w:t>
      </w:r>
    </w:p>
    <w:p w:rsidR="0098068E" w:rsidRDefault="0098068E" w:rsidP="0098068E">
      <w:pPr>
        <w:spacing w:after="120"/>
        <w:rPr>
          <w:rFonts w:cs="Arial"/>
        </w:rPr>
      </w:pPr>
      <w:r w:rsidRPr="008C4B06">
        <w:rPr>
          <w:rFonts w:cs="Arial"/>
        </w:rPr>
        <w:t>V</w:t>
      </w:r>
      <w:r w:rsidR="008C30FC">
        <w:rPr>
          <w:rFonts w:cs="Arial"/>
        </w:rPr>
        <w:t>e</w:t>
      </w:r>
      <w:r w:rsidR="0039237F">
        <w:rPr>
          <w:rFonts w:cs="Arial"/>
        </w:rPr>
        <w:t> Veselí nad Moravou</w:t>
      </w:r>
      <w:r w:rsidRPr="008C4B06">
        <w:rPr>
          <w:rFonts w:cs="Arial"/>
        </w:rPr>
        <w:t xml:space="preserve"> dne </w:t>
      </w:r>
      <w:r w:rsidR="00910D6F" w:rsidRPr="00D57738">
        <w:rPr>
          <w:rFonts w:cs="Arial"/>
        </w:rPr>
        <w:fldChar w:fldCharType="begin">
          <w:ffData>
            <w:name w:val=""/>
            <w:enabled/>
            <w:calcOnExit w:val="0"/>
            <w:textInput>
              <w:default w:val="26.07.2017"/>
            </w:textInput>
          </w:ffData>
        </w:fldChar>
      </w:r>
      <w:r w:rsidR="00910D6F" w:rsidRPr="00D57738">
        <w:rPr>
          <w:rFonts w:cs="Arial"/>
        </w:rPr>
        <w:instrText xml:space="preserve"> FORMTEXT </w:instrText>
      </w:r>
      <w:r w:rsidR="00910D6F" w:rsidRPr="00D57738">
        <w:rPr>
          <w:rFonts w:cs="Arial"/>
        </w:rPr>
      </w:r>
      <w:r w:rsidR="00910D6F" w:rsidRPr="00D57738">
        <w:rPr>
          <w:rFonts w:cs="Arial"/>
        </w:rPr>
        <w:fldChar w:fldCharType="separate"/>
      </w:r>
      <w:r w:rsidR="00910D6F" w:rsidRPr="00D57738">
        <w:rPr>
          <w:rFonts w:cs="Arial"/>
          <w:noProof/>
        </w:rPr>
        <w:t>26.07.2017</w:t>
      </w:r>
      <w:r w:rsidR="00910D6F" w:rsidRPr="00D57738">
        <w:rPr>
          <w:rFonts w:cs="Arial"/>
        </w:rPr>
        <w:fldChar w:fldCharType="end"/>
      </w:r>
    </w:p>
    <w:p w:rsidR="008C30FC" w:rsidRDefault="008C30FC" w:rsidP="0098068E">
      <w:pPr>
        <w:spacing w:after="120"/>
        <w:rPr>
          <w:rFonts w:cs="Arial"/>
        </w:rPr>
      </w:pPr>
      <w:r>
        <w:rPr>
          <w:rFonts w:cs="Arial"/>
        </w:rPr>
        <w:t>VESBYT s.r.o.</w:t>
      </w:r>
    </w:p>
    <w:p w:rsidR="0098068E" w:rsidRDefault="0098068E" w:rsidP="0098068E">
      <w:pPr>
        <w:spacing w:before="120"/>
        <w:rPr>
          <w:rFonts w:cs="Arial"/>
        </w:rPr>
      </w:pPr>
    </w:p>
    <w:p w:rsidR="0098068E" w:rsidRDefault="0098068E" w:rsidP="0098068E">
      <w:pPr>
        <w:spacing w:before="120"/>
        <w:rPr>
          <w:rFonts w:cs="Arial"/>
        </w:rPr>
      </w:pPr>
    </w:p>
    <w:p w:rsidR="003D2046" w:rsidRDefault="004B52CA" w:rsidP="00195AB7">
      <w:pPr>
        <w:spacing w:before="120"/>
        <w:rPr>
          <w:rFonts w:cs="Arial"/>
        </w:rPr>
      </w:pPr>
      <w:r>
        <w:rPr>
          <w:rFonts w:cs="Arial"/>
        </w:rPr>
        <w:t>Mgr. Evelína Jochová jednatel</w:t>
      </w:r>
    </w:p>
    <w:p w:rsidR="00195AB7" w:rsidRPr="00195AB7" w:rsidRDefault="00195AB7" w:rsidP="00195AB7">
      <w:pPr>
        <w:spacing w:before="120"/>
        <w:rPr>
          <w:rFonts w:cs="Arial"/>
          <w:sz w:val="16"/>
          <w:szCs w:val="16"/>
        </w:rPr>
      </w:pPr>
      <w:r w:rsidRPr="00195AB7">
        <w:rPr>
          <w:rFonts w:cs="Arial"/>
          <w:sz w:val="16"/>
          <w:szCs w:val="16"/>
        </w:rPr>
        <w:t>Podpis klienta</w:t>
      </w:r>
    </w:p>
    <w:p w:rsidR="00B82627" w:rsidRPr="008C4B06" w:rsidRDefault="003E778C" w:rsidP="00B82627">
      <w:pPr>
        <w:spacing w:after="120"/>
        <w:jc w:val="right"/>
        <w:rPr>
          <w:rFonts w:cs="Arial"/>
          <w:b/>
        </w:rPr>
      </w:pPr>
      <w:r w:rsidRPr="00195AB7">
        <w:rPr>
          <w:rFonts w:cs="Arial"/>
          <w:sz w:val="16"/>
          <w:szCs w:val="16"/>
        </w:rPr>
        <w:br w:type="page"/>
      </w:r>
      <w:r w:rsidR="00B82627" w:rsidRPr="008C4B06">
        <w:rPr>
          <w:rFonts w:cs="Arial"/>
          <w:b/>
        </w:rPr>
        <w:lastRenderedPageBreak/>
        <w:t>PŘÍLOHA Č. 6</w:t>
      </w:r>
    </w:p>
    <w:tbl>
      <w:tblPr>
        <w:tblW w:w="0" w:type="auto"/>
        <w:tblLook w:val="01E0" w:firstRow="1" w:lastRow="1" w:firstColumn="1" w:lastColumn="1" w:noHBand="0" w:noVBand="0"/>
      </w:tblPr>
      <w:tblGrid>
        <w:gridCol w:w="4486"/>
        <w:gridCol w:w="4582"/>
      </w:tblGrid>
      <w:tr w:rsidR="00B82627" w:rsidRPr="00B06D8C" w:rsidTr="00B06D8C">
        <w:tc>
          <w:tcPr>
            <w:tcW w:w="4889" w:type="dxa"/>
            <w:tcBorders>
              <w:right w:val="single" w:sz="4" w:space="0" w:color="auto"/>
            </w:tcBorders>
          </w:tcPr>
          <w:p w:rsidR="00B82627" w:rsidRPr="00B06D8C" w:rsidRDefault="00B82627" w:rsidP="00B06D8C">
            <w:pPr>
              <w:spacing w:before="120" w:after="120"/>
              <w:rPr>
                <w:rFonts w:cs="Arial"/>
              </w:rPr>
            </w:pPr>
          </w:p>
        </w:tc>
        <w:tc>
          <w:tcPr>
            <w:tcW w:w="4890" w:type="dxa"/>
            <w:tcBorders>
              <w:top w:val="single" w:sz="4" w:space="0" w:color="auto"/>
              <w:left w:val="single" w:sz="4" w:space="0" w:color="auto"/>
              <w:bottom w:val="single" w:sz="4" w:space="0" w:color="auto"/>
              <w:right w:val="single" w:sz="4" w:space="0" w:color="auto"/>
            </w:tcBorders>
          </w:tcPr>
          <w:p w:rsidR="00B82627" w:rsidRPr="00B06D8C" w:rsidRDefault="007C7D9C" w:rsidP="00B06D8C">
            <w:pPr>
              <w:spacing w:before="120" w:after="120"/>
              <w:jc w:val="right"/>
              <w:rPr>
                <w:rFonts w:cs="Arial"/>
                <w:b/>
              </w:rPr>
            </w:pPr>
            <w:bookmarkStart w:id="79" w:name="registr_7"/>
            <w:bookmarkEnd w:id="79"/>
            <w:r>
              <w:rPr>
                <w:rFonts w:cs="Arial"/>
                <w:b/>
              </w:rPr>
              <w:t>99017949454</w:t>
            </w:r>
          </w:p>
        </w:tc>
      </w:tr>
      <w:tr w:rsidR="00B82627" w:rsidRPr="00B06D8C" w:rsidTr="00B06D8C">
        <w:tc>
          <w:tcPr>
            <w:tcW w:w="4889" w:type="dxa"/>
          </w:tcPr>
          <w:p w:rsidR="00B82627" w:rsidRPr="00B06D8C" w:rsidRDefault="00B82627" w:rsidP="00B06D8C">
            <w:pPr>
              <w:spacing w:before="40"/>
              <w:rPr>
                <w:rFonts w:cs="Arial"/>
                <w:sz w:val="16"/>
                <w:szCs w:val="16"/>
              </w:rPr>
            </w:pPr>
          </w:p>
        </w:tc>
        <w:tc>
          <w:tcPr>
            <w:tcW w:w="4890" w:type="dxa"/>
            <w:tcBorders>
              <w:top w:val="single" w:sz="4" w:space="0" w:color="auto"/>
            </w:tcBorders>
          </w:tcPr>
          <w:p w:rsidR="00B82627" w:rsidRPr="00B06D8C" w:rsidRDefault="00B82627" w:rsidP="00B06D8C">
            <w:pPr>
              <w:spacing w:before="40"/>
              <w:jc w:val="right"/>
              <w:rPr>
                <w:rFonts w:cs="Arial"/>
                <w:sz w:val="16"/>
                <w:szCs w:val="16"/>
              </w:rPr>
            </w:pPr>
            <w:r w:rsidRPr="00B06D8C">
              <w:rPr>
                <w:rFonts w:cs="Arial"/>
                <w:sz w:val="16"/>
                <w:szCs w:val="16"/>
              </w:rPr>
              <w:t>registrační číslo</w:t>
            </w:r>
          </w:p>
        </w:tc>
      </w:tr>
    </w:tbl>
    <w:p w:rsidR="00B82627" w:rsidRPr="008C4B06" w:rsidRDefault="00B82627" w:rsidP="00B82627">
      <w:pPr>
        <w:rPr>
          <w:rFonts w:cs="Arial"/>
        </w:rPr>
      </w:pPr>
    </w:p>
    <w:p w:rsidR="00B82627" w:rsidRPr="008C4B06" w:rsidRDefault="00B82627" w:rsidP="00B82627">
      <w:pPr>
        <w:spacing w:after="120"/>
        <w:rPr>
          <w:rFonts w:cs="Arial"/>
          <w:b/>
          <w:sz w:val="28"/>
          <w:szCs w:val="28"/>
        </w:rPr>
      </w:pPr>
      <w:r w:rsidRPr="008C4B06">
        <w:rPr>
          <w:rFonts w:cs="Arial"/>
          <w:b/>
          <w:sz w:val="28"/>
          <w:szCs w:val="28"/>
        </w:rPr>
        <w:t>ŽÁDOST O ČERPÁNÍ ÚVĚRU</w:t>
      </w:r>
    </w:p>
    <w:p w:rsidR="00B82627" w:rsidRPr="008C4B06" w:rsidRDefault="00B82627" w:rsidP="00B82627">
      <w:pPr>
        <w:rPr>
          <w:rFonts w:cs="Arial"/>
          <w:bCs/>
        </w:rPr>
      </w:pPr>
    </w:p>
    <w:p w:rsidR="007C7D9C" w:rsidRDefault="007C7D9C" w:rsidP="007C7D9C">
      <w:bookmarkStart w:id="80" w:name="hlava_2"/>
      <w:bookmarkEnd w:id="80"/>
      <w:r>
        <w:rPr>
          <w:b/>
        </w:rPr>
        <w:t>právnická osoba</w:t>
      </w:r>
      <w:r>
        <w:t xml:space="preserve"> (dále jen „</w:t>
      </w:r>
      <w:r w:rsidRPr="0040150E">
        <w:rPr>
          <w:b/>
        </w:rPr>
        <w:t>Klient</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637"/>
        <w:gridCol w:w="6426"/>
      </w:tblGrid>
      <w:tr w:rsidR="007C7D9C" w:rsidTr="00F60B34">
        <w:tc>
          <w:tcPr>
            <w:tcW w:w="2802" w:type="dxa"/>
            <w:shd w:val="clear" w:color="auto" w:fill="auto"/>
            <w:vAlign w:val="center"/>
          </w:tcPr>
          <w:p w:rsidR="007C7D9C" w:rsidRDefault="007C7D9C" w:rsidP="00F60B34">
            <w:pPr>
              <w:spacing w:before="40" w:after="40"/>
            </w:pPr>
            <w:r w:rsidRPr="00F60B34">
              <w:rPr>
                <w:sz w:val="16"/>
              </w:rPr>
              <w:t>Obchodní firma* / název**:</w:t>
            </w:r>
          </w:p>
        </w:tc>
        <w:tc>
          <w:tcPr>
            <w:tcW w:w="6977" w:type="dxa"/>
            <w:shd w:val="clear" w:color="auto" w:fill="auto"/>
            <w:vAlign w:val="center"/>
          </w:tcPr>
          <w:p w:rsidR="007C7D9C" w:rsidRPr="00F60B34" w:rsidRDefault="0039237F" w:rsidP="00F60B34">
            <w:pPr>
              <w:spacing w:before="40" w:after="40"/>
              <w:rPr>
                <w:b/>
              </w:rPr>
            </w:pPr>
            <w:r w:rsidRPr="00F60B34">
              <w:rPr>
                <w:b/>
              </w:rPr>
              <w:t>VESBYT S.R.O.</w:t>
            </w:r>
          </w:p>
        </w:tc>
      </w:tr>
      <w:tr w:rsidR="007C7D9C" w:rsidTr="00F60B34">
        <w:tc>
          <w:tcPr>
            <w:tcW w:w="2802" w:type="dxa"/>
            <w:shd w:val="clear" w:color="auto" w:fill="auto"/>
            <w:vAlign w:val="center"/>
          </w:tcPr>
          <w:p w:rsidR="007C7D9C" w:rsidRDefault="007C7D9C" w:rsidP="00F60B34">
            <w:pPr>
              <w:spacing w:before="40" w:after="40"/>
            </w:pPr>
            <w:r w:rsidRPr="00F60B34">
              <w:rPr>
                <w:sz w:val="16"/>
              </w:rPr>
              <w:t>Sídlo:</w:t>
            </w:r>
          </w:p>
        </w:tc>
        <w:tc>
          <w:tcPr>
            <w:tcW w:w="6977" w:type="dxa"/>
            <w:shd w:val="clear" w:color="auto" w:fill="auto"/>
            <w:vAlign w:val="center"/>
          </w:tcPr>
          <w:p w:rsidR="007C7D9C" w:rsidRPr="00F60B34" w:rsidRDefault="0039237F" w:rsidP="00F60B34">
            <w:pPr>
              <w:spacing w:before="40" w:after="40"/>
              <w:rPr>
                <w:b/>
              </w:rPr>
            </w:pPr>
            <w:r w:rsidRPr="00F60B34">
              <w:rPr>
                <w:b/>
              </w:rPr>
              <w:t>BLATNICKÁ 1527, 698 01 VESELÍ NAD MORAVOU, CZ</w:t>
            </w:r>
          </w:p>
        </w:tc>
      </w:tr>
      <w:tr w:rsidR="007C7D9C" w:rsidTr="00F60B34">
        <w:tc>
          <w:tcPr>
            <w:tcW w:w="2802" w:type="dxa"/>
            <w:shd w:val="clear" w:color="auto" w:fill="auto"/>
            <w:vAlign w:val="center"/>
          </w:tcPr>
          <w:p w:rsidR="007C7D9C" w:rsidRDefault="007C7D9C" w:rsidP="00F60B34">
            <w:pPr>
              <w:spacing w:before="40" w:after="40"/>
            </w:pPr>
            <w:r w:rsidRPr="00F60B34">
              <w:rPr>
                <w:sz w:val="16"/>
              </w:rPr>
              <w:t>IČO:</w:t>
            </w:r>
          </w:p>
        </w:tc>
        <w:tc>
          <w:tcPr>
            <w:tcW w:w="6977" w:type="dxa"/>
            <w:shd w:val="clear" w:color="auto" w:fill="auto"/>
            <w:vAlign w:val="center"/>
          </w:tcPr>
          <w:p w:rsidR="007C7D9C" w:rsidRPr="00F60B34" w:rsidRDefault="0039237F" w:rsidP="00F60B34">
            <w:pPr>
              <w:spacing w:before="40" w:after="40"/>
              <w:rPr>
                <w:b/>
              </w:rPr>
            </w:pPr>
            <w:r w:rsidRPr="00F60B34">
              <w:rPr>
                <w:b/>
              </w:rPr>
              <w:t>63494876</w:t>
            </w:r>
          </w:p>
        </w:tc>
      </w:tr>
      <w:tr w:rsidR="007C7D9C" w:rsidTr="00F60B34">
        <w:tc>
          <w:tcPr>
            <w:tcW w:w="2802" w:type="dxa"/>
            <w:shd w:val="clear" w:color="auto" w:fill="auto"/>
            <w:vAlign w:val="center"/>
          </w:tcPr>
          <w:p w:rsidR="007C7D9C" w:rsidRDefault="007C7D9C" w:rsidP="00F60B34">
            <w:pPr>
              <w:spacing w:before="40" w:after="40"/>
            </w:pPr>
            <w:r w:rsidRPr="00F60B34">
              <w:rPr>
                <w:sz w:val="16"/>
              </w:rPr>
              <w:t>Zápis v obchodním rejstříku či jiné evidenci, včetně spisové značky:</w:t>
            </w:r>
          </w:p>
        </w:tc>
        <w:tc>
          <w:tcPr>
            <w:tcW w:w="6977" w:type="dxa"/>
            <w:shd w:val="clear" w:color="auto" w:fill="auto"/>
            <w:vAlign w:val="center"/>
          </w:tcPr>
          <w:p w:rsidR="007C7D9C" w:rsidRPr="00F60B34" w:rsidRDefault="0039237F" w:rsidP="00F60B34">
            <w:pPr>
              <w:spacing w:before="40" w:after="40"/>
              <w:rPr>
                <w:b/>
              </w:rPr>
            </w:pPr>
            <w:r w:rsidRPr="00F60B34">
              <w:rPr>
                <w:b/>
              </w:rPr>
              <w:t>Výpis z obchodního rejstříku, vedeného Krajským soudem v Brně oddíl C, vložka 22270</w:t>
            </w:r>
          </w:p>
        </w:tc>
      </w:tr>
    </w:tbl>
    <w:p w:rsidR="007C7D9C" w:rsidRDefault="007C7D9C" w:rsidP="007C7D9C">
      <w:pPr>
        <w:rPr>
          <w:sz w:val="16"/>
        </w:rPr>
      </w:pPr>
      <w:r>
        <w:rPr>
          <w:sz w:val="16"/>
        </w:rPr>
        <w:t>*je-li Klient zapsán v obchodním rejstříku; **není-li Klient zapsán v obchodním rejstříku</w:t>
      </w:r>
    </w:p>
    <w:p w:rsidR="007C7D9C" w:rsidRDefault="007C7D9C" w:rsidP="007C7D9C"/>
    <w:p w:rsidR="003E778C" w:rsidRPr="008C4B06" w:rsidRDefault="006D22F8" w:rsidP="006D22F8">
      <w:pPr>
        <w:spacing w:after="120"/>
        <w:rPr>
          <w:rFonts w:cs="Arial"/>
        </w:rPr>
      </w:pPr>
      <w:r w:rsidRPr="008C4B06">
        <w:rPr>
          <w:rFonts w:cs="Arial"/>
        </w:rPr>
        <w:t xml:space="preserve">tímto žádá v souladu se Smlouvou o úvěru ze dne </w:t>
      </w:r>
      <w:r w:rsidR="00910D6F">
        <w:rPr>
          <w:rFonts w:cs="Arial"/>
        </w:rPr>
        <w:t>26.07.2017</w:t>
      </w:r>
      <w:r w:rsidRPr="008C4B06">
        <w:rPr>
          <w:rFonts w:cs="Arial"/>
        </w:rPr>
        <w:t xml:space="preserve">, </w:t>
      </w:r>
      <w:proofErr w:type="spellStart"/>
      <w:r w:rsidRPr="008C4B06">
        <w:rPr>
          <w:rFonts w:cs="Arial"/>
        </w:rPr>
        <w:t>reg</w:t>
      </w:r>
      <w:proofErr w:type="spellEnd"/>
      <w:r w:rsidRPr="008C4B06">
        <w:rPr>
          <w:rFonts w:cs="Arial"/>
        </w:rPr>
        <w:t xml:space="preserve">. č. </w:t>
      </w:r>
      <w:r w:rsidR="00910D6F">
        <w:rPr>
          <w:rFonts w:cs="Arial"/>
        </w:rPr>
        <w:t>99017949454</w:t>
      </w:r>
      <w:r w:rsidRPr="008C4B06">
        <w:rPr>
          <w:rFonts w:cs="Arial"/>
        </w:rPr>
        <w:t xml:space="preserve"> (dále jen „</w:t>
      </w:r>
      <w:r w:rsidRPr="008C4B06">
        <w:rPr>
          <w:rFonts w:cs="Arial"/>
          <w:b/>
        </w:rPr>
        <w:t>Smlouva</w:t>
      </w:r>
      <w:r w:rsidRPr="008C4B06">
        <w:rPr>
          <w:rFonts w:cs="Arial"/>
        </w:rPr>
        <w:t xml:space="preserve">“), pohledávka za Klientem ze Smlouvy je evidována pod číslem </w:t>
      </w:r>
      <w:r w:rsidR="00910D6F">
        <w:rPr>
          <w:rFonts w:cs="Arial"/>
        </w:rPr>
        <w:fldChar w:fldCharType="begin">
          <w:ffData>
            <w:name w:val=""/>
            <w:enabled/>
            <w:calcOnExit w:val="0"/>
            <w:textInput>
              <w:default w:val="35-1503511587"/>
            </w:textInput>
          </w:ffData>
        </w:fldChar>
      </w:r>
      <w:r w:rsidR="00910D6F">
        <w:rPr>
          <w:rFonts w:cs="Arial"/>
        </w:rPr>
        <w:instrText xml:space="preserve"> FORMTEXT </w:instrText>
      </w:r>
      <w:r w:rsidR="00910D6F">
        <w:rPr>
          <w:rFonts w:cs="Arial"/>
        </w:rPr>
      </w:r>
      <w:r w:rsidR="00910D6F">
        <w:rPr>
          <w:rFonts w:cs="Arial"/>
        </w:rPr>
        <w:fldChar w:fldCharType="separate"/>
      </w:r>
      <w:r w:rsidR="00910D6F">
        <w:rPr>
          <w:rFonts w:cs="Arial"/>
          <w:noProof/>
        </w:rPr>
        <w:t>35-1503511587</w:t>
      </w:r>
      <w:r w:rsidR="00910D6F">
        <w:rPr>
          <w:rFonts w:cs="Arial"/>
        </w:rPr>
        <w:fldChar w:fldCharType="end"/>
      </w:r>
      <w:r w:rsidR="00910D6F">
        <w:rPr>
          <w:rFonts w:cs="Arial"/>
        </w:rPr>
        <w:t>/0100</w:t>
      </w:r>
      <w:r w:rsidRPr="008C4B06">
        <w:rPr>
          <w:rFonts w:cs="Arial"/>
        </w:rPr>
        <w:t>,</w:t>
      </w:r>
    </w:p>
    <w:p w:rsidR="006D22F8" w:rsidRPr="008C4B06" w:rsidRDefault="006D22F8" w:rsidP="006D22F8">
      <w:pPr>
        <w:spacing w:after="120"/>
        <w:rPr>
          <w:rFonts w:cs="Arial"/>
        </w:rPr>
      </w:pPr>
      <w:r w:rsidRPr="008C4B06">
        <w:rPr>
          <w:rFonts w:cs="Arial"/>
          <w:b/>
        </w:rPr>
        <w:t>Komerční banku, a. s.</w:t>
      </w:r>
      <w:r w:rsidRPr="008C4B06">
        <w:rPr>
          <w:rFonts w:cs="Arial"/>
        </w:rPr>
        <w:t>, se sídlem Praha 1, Na Příkopě 33 čp. 969, PSČ 114 07, IČ</w:t>
      </w:r>
      <w:r w:rsidR="006F5903">
        <w:rPr>
          <w:rFonts w:cs="Arial"/>
        </w:rPr>
        <w:t>O</w:t>
      </w:r>
      <w:r w:rsidRPr="008C4B06">
        <w:rPr>
          <w:rFonts w:cs="Arial"/>
        </w:rPr>
        <w:t>: 45317054, zapsanou v obchodním rejstříku vedeném Městským soudem v Praze, oddíl B, vložka 1360 (dále jen „</w:t>
      </w:r>
      <w:r w:rsidRPr="008C4B06">
        <w:rPr>
          <w:rFonts w:cs="Arial"/>
          <w:b/>
        </w:rPr>
        <w:t>Banka</w:t>
      </w:r>
      <w:r w:rsidRPr="008C4B06">
        <w:rPr>
          <w:rFonts w:cs="Arial"/>
        </w:rPr>
        <w:t>“)</w:t>
      </w:r>
    </w:p>
    <w:p w:rsidR="006D22F8" w:rsidRPr="008C4B06" w:rsidRDefault="006D22F8" w:rsidP="006D22F8">
      <w:pPr>
        <w:spacing w:after="120"/>
        <w:rPr>
          <w:rFonts w:cs="Arial"/>
        </w:rPr>
      </w:pPr>
      <w:r w:rsidRPr="008C4B06">
        <w:rPr>
          <w:rFonts w:cs="Arial"/>
        </w:rPr>
        <w:t xml:space="preserve">prostřednictvím obchodního místa Banky </w:t>
      </w:r>
      <w:r w:rsidR="00910D6F">
        <w:rPr>
          <w:rFonts w:cs="Arial"/>
        </w:rPr>
        <w:t>pobočky Veselí nad Moravou</w:t>
      </w:r>
      <w:r w:rsidRPr="008C4B06">
        <w:rPr>
          <w:rFonts w:cs="Arial"/>
        </w:rPr>
        <w:t>,</w:t>
      </w:r>
    </w:p>
    <w:tbl>
      <w:tblPr>
        <w:tblW w:w="0" w:type="auto"/>
        <w:tblLook w:val="01E0" w:firstRow="1" w:lastRow="1" w:firstColumn="1" w:lastColumn="1" w:noHBand="0" w:noVBand="0"/>
      </w:tblPr>
      <w:tblGrid>
        <w:gridCol w:w="1809"/>
        <w:gridCol w:w="3080"/>
        <w:gridCol w:w="1031"/>
        <w:gridCol w:w="709"/>
      </w:tblGrid>
      <w:tr w:rsidR="006D22F8" w:rsidRPr="00B06D8C" w:rsidTr="00B06D8C">
        <w:tc>
          <w:tcPr>
            <w:tcW w:w="1809" w:type="dxa"/>
          </w:tcPr>
          <w:p w:rsidR="006D22F8" w:rsidRPr="00B06D8C" w:rsidRDefault="006D22F8" w:rsidP="00B06D8C">
            <w:pPr>
              <w:spacing w:before="120"/>
              <w:rPr>
                <w:rFonts w:cs="Arial"/>
              </w:rPr>
            </w:pPr>
            <w:r w:rsidRPr="00B06D8C">
              <w:rPr>
                <w:rFonts w:cs="Arial"/>
                <w:spacing w:val="-5"/>
                <w:szCs w:val="18"/>
              </w:rPr>
              <w:t>o Čerpání ve výši:</w:t>
            </w:r>
          </w:p>
        </w:tc>
        <w:tc>
          <w:tcPr>
            <w:tcW w:w="3080" w:type="dxa"/>
            <w:tcBorders>
              <w:bottom w:val="single" w:sz="4" w:space="0" w:color="auto"/>
            </w:tcBorders>
          </w:tcPr>
          <w:p w:rsidR="006D22F8" w:rsidRPr="00B06D8C" w:rsidRDefault="006D22F8" w:rsidP="00B06D8C">
            <w:pPr>
              <w:spacing w:before="120"/>
              <w:rPr>
                <w:rFonts w:cs="Arial"/>
              </w:rPr>
            </w:pPr>
          </w:p>
        </w:tc>
        <w:tc>
          <w:tcPr>
            <w:tcW w:w="1031" w:type="dxa"/>
          </w:tcPr>
          <w:p w:rsidR="006D22F8" w:rsidRPr="00B06D8C" w:rsidRDefault="006D22F8" w:rsidP="00B06D8C">
            <w:pPr>
              <w:spacing w:before="120"/>
              <w:rPr>
                <w:rFonts w:cs="Arial"/>
              </w:rPr>
            </w:pPr>
            <w:r w:rsidRPr="00B06D8C">
              <w:rPr>
                <w:rFonts w:cs="Arial"/>
              </w:rPr>
              <w:t>měna:</w:t>
            </w:r>
          </w:p>
        </w:tc>
        <w:tc>
          <w:tcPr>
            <w:tcW w:w="709" w:type="dxa"/>
            <w:tcBorders>
              <w:bottom w:val="single" w:sz="4" w:space="0" w:color="auto"/>
            </w:tcBorders>
          </w:tcPr>
          <w:p w:rsidR="006D22F8" w:rsidRPr="00B06D8C" w:rsidRDefault="006D22F8" w:rsidP="00B06D8C">
            <w:pPr>
              <w:spacing w:before="120"/>
              <w:rPr>
                <w:rFonts w:cs="Arial"/>
              </w:rPr>
            </w:pPr>
          </w:p>
        </w:tc>
      </w:tr>
      <w:tr w:rsidR="006D22F8" w:rsidRPr="00B06D8C" w:rsidTr="00B06D8C">
        <w:tc>
          <w:tcPr>
            <w:tcW w:w="1809" w:type="dxa"/>
          </w:tcPr>
          <w:p w:rsidR="006D22F8" w:rsidRPr="00B06D8C" w:rsidRDefault="006D22F8" w:rsidP="00B06D8C">
            <w:pPr>
              <w:spacing w:before="120"/>
              <w:rPr>
                <w:rFonts w:cs="Arial"/>
              </w:rPr>
            </w:pPr>
            <w:r w:rsidRPr="00B06D8C">
              <w:rPr>
                <w:rFonts w:cs="Arial"/>
              </w:rPr>
              <w:t>slovy:</w:t>
            </w:r>
          </w:p>
        </w:tc>
        <w:tc>
          <w:tcPr>
            <w:tcW w:w="4820" w:type="dxa"/>
            <w:gridSpan w:val="3"/>
            <w:tcBorders>
              <w:bottom w:val="single" w:sz="4" w:space="0" w:color="auto"/>
            </w:tcBorders>
          </w:tcPr>
          <w:p w:rsidR="006D22F8" w:rsidRPr="00B06D8C" w:rsidRDefault="006D22F8" w:rsidP="00B06D8C">
            <w:pPr>
              <w:spacing w:before="120"/>
              <w:rPr>
                <w:rFonts w:cs="Arial"/>
              </w:rPr>
            </w:pPr>
          </w:p>
        </w:tc>
      </w:tr>
      <w:tr w:rsidR="006D22F8" w:rsidRPr="00B06D8C" w:rsidTr="00B06D8C">
        <w:tc>
          <w:tcPr>
            <w:tcW w:w="1809" w:type="dxa"/>
          </w:tcPr>
          <w:p w:rsidR="006D22F8" w:rsidRPr="00B06D8C" w:rsidRDefault="006D22F8" w:rsidP="00B06D8C">
            <w:pPr>
              <w:spacing w:before="120"/>
              <w:rPr>
                <w:rFonts w:cs="Arial"/>
              </w:rPr>
            </w:pPr>
            <w:r w:rsidRPr="00B06D8C">
              <w:rPr>
                <w:rFonts w:cs="Arial"/>
              </w:rPr>
              <w:t>dne:</w:t>
            </w:r>
          </w:p>
        </w:tc>
        <w:tc>
          <w:tcPr>
            <w:tcW w:w="3080" w:type="dxa"/>
            <w:tcBorders>
              <w:top w:val="single" w:sz="4" w:space="0" w:color="auto"/>
              <w:bottom w:val="single" w:sz="4" w:space="0" w:color="auto"/>
            </w:tcBorders>
          </w:tcPr>
          <w:p w:rsidR="006D22F8" w:rsidRPr="00B06D8C" w:rsidRDefault="006D22F8" w:rsidP="00B06D8C">
            <w:pPr>
              <w:spacing w:before="120"/>
              <w:rPr>
                <w:rFonts w:cs="Arial"/>
              </w:rPr>
            </w:pPr>
          </w:p>
        </w:tc>
        <w:tc>
          <w:tcPr>
            <w:tcW w:w="1031" w:type="dxa"/>
          </w:tcPr>
          <w:p w:rsidR="006D22F8" w:rsidRPr="00B06D8C" w:rsidRDefault="006D22F8" w:rsidP="00B06D8C">
            <w:pPr>
              <w:spacing w:before="120"/>
              <w:rPr>
                <w:rFonts w:cs="Arial"/>
              </w:rPr>
            </w:pPr>
          </w:p>
        </w:tc>
        <w:tc>
          <w:tcPr>
            <w:tcW w:w="709" w:type="dxa"/>
          </w:tcPr>
          <w:p w:rsidR="006D22F8" w:rsidRPr="00B06D8C" w:rsidRDefault="006D22F8" w:rsidP="00B06D8C">
            <w:pPr>
              <w:spacing w:before="120"/>
              <w:rPr>
                <w:rFonts w:cs="Arial"/>
              </w:rPr>
            </w:pPr>
          </w:p>
        </w:tc>
      </w:tr>
    </w:tbl>
    <w:p w:rsidR="003D2046" w:rsidRPr="008C4B06" w:rsidRDefault="003D2046" w:rsidP="00A547CD">
      <w:pPr>
        <w:rPr>
          <w:rFonts w:cs="Arial"/>
        </w:rPr>
      </w:pPr>
    </w:p>
    <w:p w:rsidR="003D2046" w:rsidRPr="008C4B06" w:rsidRDefault="006D22F8" w:rsidP="00A547CD">
      <w:pPr>
        <w:rPr>
          <w:rFonts w:cs="Arial"/>
        </w:rPr>
      </w:pPr>
      <w:r w:rsidRPr="008C4B06">
        <w:rPr>
          <w:rFonts w:cs="Arial"/>
        </w:rPr>
        <w:t>takto</w:t>
      </w:r>
    </w:p>
    <w:p w:rsidR="00C1506B" w:rsidRPr="008C4B06" w:rsidRDefault="00C1506B" w:rsidP="00A547CD">
      <w:pPr>
        <w:rPr>
          <w:rFonts w:cs="Arial"/>
        </w:rPr>
      </w:pPr>
    </w:p>
    <w:p w:rsidR="00C1506B" w:rsidRPr="008C4B06" w:rsidRDefault="006D22F8" w:rsidP="006D22F8">
      <w:pPr>
        <w:ind w:left="567" w:hanging="567"/>
        <w:rPr>
          <w:rFonts w:cs="Arial"/>
        </w:rPr>
      </w:pPr>
      <w:r w:rsidRPr="008C4B06">
        <w:rPr>
          <w:rFonts w:cs="Arial"/>
        </w:rPr>
        <w:fldChar w:fldCharType="begin">
          <w:ffData>
            <w:name w:val=""/>
            <w:enabled/>
            <w:calcOnExit w:val="0"/>
            <w:checkBox>
              <w:sizeAuto/>
              <w:default w:val="0"/>
            </w:checkBox>
          </w:ffData>
        </w:fldChar>
      </w:r>
      <w:r w:rsidRPr="008C4B06">
        <w:rPr>
          <w:rFonts w:cs="Arial"/>
        </w:rPr>
        <w:instrText xml:space="preserve"> FORMCHECKBOX </w:instrText>
      </w:r>
      <w:r w:rsidR="008E5A49">
        <w:rPr>
          <w:rFonts w:cs="Arial"/>
        </w:rPr>
      </w:r>
      <w:r w:rsidR="008E5A49">
        <w:rPr>
          <w:rFonts w:cs="Arial"/>
        </w:rPr>
        <w:fldChar w:fldCharType="separate"/>
      </w:r>
      <w:r w:rsidRPr="008C4B06">
        <w:rPr>
          <w:rFonts w:cs="Arial"/>
        </w:rPr>
        <w:fldChar w:fldCharType="end"/>
      </w:r>
      <w:r w:rsidRPr="008C4B06">
        <w:rPr>
          <w:rFonts w:cs="Arial"/>
        </w:rPr>
        <w:tab/>
        <w:t>na základě přiložených dokladů</w:t>
      </w:r>
    </w:p>
    <w:p w:rsidR="00C1506B" w:rsidRPr="008C4B06" w:rsidRDefault="00C1506B" w:rsidP="00A547CD">
      <w:pPr>
        <w:rPr>
          <w:rFonts w:cs="Arial"/>
        </w:rPr>
      </w:pPr>
    </w:p>
    <w:p w:rsidR="00C1506B" w:rsidRPr="008C4B06" w:rsidRDefault="00C1506B" w:rsidP="00A547C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707"/>
        <w:gridCol w:w="701"/>
        <w:gridCol w:w="1287"/>
        <w:gridCol w:w="1323"/>
        <w:gridCol w:w="1047"/>
        <w:gridCol w:w="1320"/>
      </w:tblGrid>
      <w:tr w:rsidR="006D22F8" w:rsidRPr="00B06D8C" w:rsidTr="00B06D8C">
        <w:tc>
          <w:tcPr>
            <w:tcW w:w="3085" w:type="dxa"/>
            <w:vAlign w:val="center"/>
          </w:tcPr>
          <w:p w:rsidR="006D22F8" w:rsidRPr="00B06D8C" w:rsidRDefault="006D22F8" w:rsidP="00B06D8C">
            <w:pPr>
              <w:spacing w:before="60" w:after="60"/>
              <w:rPr>
                <w:rFonts w:cs="Arial"/>
              </w:rPr>
            </w:pPr>
            <w:r w:rsidRPr="00B06D8C">
              <w:rPr>
                <w:rFonts w:cs="Arial"/>
              </w:rPr>
              <w:fldChar w:fldCharType="begin">
                <w:ffData>
                  <w:name w:val=""/>
                  <w:enabled/>
                  <w:calcOnExit w:val="0"/>
                  <w:checkBox>
                    <w:sizeAuto/>
                    <w:default w:val="0"/>
                  </w:checkBox>
                </w:ffData>
              </w:fldChar>
            </w:r>
            <w:r w:rsidRPr="00B06D8C">
              <w:rPr>
                <w:rFonts w:cs="Arial"/>
              </w:rPr>
              <w:instrText xml:space="preserve"> FORMCHECKBOX </w:instrText>
            </w:r>
            <w:r w:rsidR="008E5A49">
              <w:rPr>
                <w:rFonts w:cs="Arial"/>
              </w:rPr>
            </w:r>
            <w:r w:rsidR="008E5A49">
              <w:rPr>
                <w:rFonts w:cs="Arial"/>
              </w:rPr>
              <w:fldChar w:fldCharType="separate"/>
            </w:r>
            <w:r w:rsidRPr="00B06D8C">
              <w:rPr>
                <w:rFonts w:cs="Arial"/>
              </w:rPr>
              <w:fldChar w:fldCharType="end"/>
            </w:r>
            <w:r w:rsidRPr="00B06D8C">
              <w:rPr>
                <w:rFonts w:cs="Arial"/>
              </w:rPr>
              <w:t xml:space="preserve"> ve prospěch účtu číslo</w:t>
            </w:r>
          </w:p>
        </w:tc>
        <w:tc>
          <w:tcPr>
            <w:tcW w:w="709" w:type="dxa"/>
            <w:vAlign w:val="center"/>
          </w:tcPr>
          <w:p w:rsidR="006D22F8" w:rsidRPr="00B06D8C" w:rsidRDefault="006D22F8" w:rsidP="00B06D8C">
            <w:pPr>
              <w:spacing w:before="60" w:after="60"/>
              <w:rPr>
                <w:rFonts w:cs="Arial"/>
              </w:rPr>
            </w:pPr>
            <w:r w:rsidRPr="00B06D8C">
              <w:rPr>
                <w:rFonts w:cs="Arial"/>
              </w:rPr>
              <w:t>kód banky</w:t>
            </w:r>
          </w:p>
        </w:tc>
        <w:tc>
          <w:tcPr>
            <w:tcW w:w="709" w:type="dxa"/>
            <w:vAlign w:val="center"/>
          </w:tcPr>
          <w:p w:rsidR="006D22F8" w:rsidRPr="00B06D8C" w:rsidRDefault="006D22F8" w:rsidP="00B06D8C">
            <w:pPr>
              <w:spacing w:before="60" w:after="60"/>
              <w:rPr>
                <w:rFonts w:cs="Arial"/>
              </w:rPr>
            </w:pPr>
            <w:r w:rsidRPr="00B06D8C">
              <w:rPr>
                <w:rFonts w:cs="Arial"/>
              </w:rPr>
              <w:t>měna</w:t>
            </w:r>
          </w:p>
        </w:tc>
        <w:tc>
          <w:tcPr>
            <w:tcW w:w="1417" w:type="dxa"/>
            <w:vAlign w:val="center"/>
          </w:tcPr>
          <w:p w:rsidR="006D22F8" w:rsidRPr="00B06D8C" w:rsidRDefault="006D22F8" w:rsidP="00B06D8C">
            <w:pPr>
              <w:spacing w:before="60" w:after="60"/>
              <w:rPr>
                <w:rFonts w:cs="Arial"/>
              </w:rPr>
            </w:pPr>
            <w:r w:rsidRPr="00B06D8C">
              <w:rPr>
                <w:rFonts w:cs="Arial"/>
              </w:rPr>
              <w:t>částka</w:t>
            </w:r>
          </w:p>
        </w:tc>
        <w:tc>
          <w:tcPr>
            <w:tcW w:w="1415" w:type="dxa"/>
            <w:vAlign w:val="center"/>
          </w:tcPr>
          <w:p w:rsidR="006D22F8" w:rsidRPr="00B06D8C" w:rsidRDefault="006D22F8" w:rsidP="00B06D8C">
            <w:pPr>
              <w:spacing w:before="60" w:after="60"/>
              <w:rPr>
                <w:rFonts w:cs="Arial"/>
              </w:rPr>
            </w:pPr>
            <w:r w:rsidRPr="00B06D8C">
              <w:rPr>
                <w:rFonts w:cs="Arial"/>
              </w:rPr>
              <w:t>variabilní symbol</w:t>
            </w:r>
          </w:p>
        </w:tc>
        <w:tc>
          <w:tcPr>
            <w:tcW w:w="1047" w:type="dxa"/>
            <w:vAlign w:val="center"/>
          </w:tcPr>
          <w:p w:rsidR="006D22F8" w:rsidRPr="00B06D8C" w:rsidRDefault="006D22F8" w:rsidP="00B06D8C">
            <w:pPr>
              <w:spacing w:before="60" w:after="60"/>
              <w:rPr>
                <w:rFonts w:cs="Arial"/>
              </w:rPr>
            </w:pPr>
            <w:r w:rsidRPr="00B06D8C">
              <w:rPr>
                <w:rFonts w:cs="Arial"/>
              </w:rPr>
              <w:t>konstantní symbol</w:t>
            </w:r>
          </w:p>
        </w:tc>
        <w:tc>
          <w:tcPr>
            <w:tcW w:w="1397" w:type="dxa"/>
            <w:vAlign w:val="center"/>
          </w:tcPr>
          <w:p w:rsidR="006D22F8" w:rsidRPr="00B06D8C" w:rsidRDefault="006D22F8" w:rsidP="00B06D8C">
            <w:pPr>
              <w:spacing w:before="60" w:after="60"/>
              <w:rPr>
                <w:rFonts w:cs="Arial"/>
              </w:rPr>
            </w:pPr>
            <w:r w:rsidRPr="00B06D8C">
              <w:rPr>
                <w:rFonts w:cs="Arial"/>
              </w:rPr>
              <w:t>specifický symbol</w:t>
            </w:r>
          </w:p>
        </w:tc>
      </w:tr>
      <w:tr w:rsidR="006D22F8" w:rsidRPr="00B06D8C" w:rsidTr="00B06D8C">
        <w:tc>
          <w:tcPr>
            <w:tcW w:w="3085" w:type="dxa"/>
            <w:vAlign w:val="center"/>
          </w:tcPr>
          <w:p w:rsidR="006D22F8" w:rsidRPr="00B06D8C" w:rsidRDefault="006D22F8" w:rsidP="00B06D8C">
            <w:pPr>
              <w:spacing w:before="60" w:after="60"/>
              <w:rPr>
                <w:rFonts w:cs="Arial"/>
              </w:rPr>
            </w:pPr>
          </w:p>
        </w:tc>
        <w:tc>
          <w:tcPr>
            <w:tcW w:w="709" w:type="dxa"/>
            <w:vAlign w:val="center"/>
          </w:tcPr>
          <w:p w:rsidR="006D22F8" w:rsidRPr="00B06D8C" w:rsidRDefault="006D22F8" w:rsidP="00B06D8C">
            <w:pPr>
              <w:spacing w:before="60" w:after="60"/>
              <w:rPr>
                <w:rFonts w:cs="Arial"/>
              </w:rPr>
            </w:pPr>
          </w:p>
        </w:tc>
        <w:tc>
          <w:tcPr>
            <w:tcW w:w="709" w:type="dxa"/>
            <w:vAlign w:val="center"/>
          </w:tcPr>
          <w:p w:rsidR="006D22F8" w:rsidRPr="00B06D8C" w:rsidRDefault="006D22F8" w:rsidP="00B06D8C">
            <w:pPr>
              <w:spacing w:before="60" w:after="60"/>
              <w:rPr>
                <w:rFonts w:cs="Arial"/>
              </w:rPr>
            </w:pPr>
          </w:p>
        </w:tc>
        <w:tc>
          <w:tcPr>
            <w:tcW w:w="1417" w:type="dxa"/>
            <w:vAlign w:val="center"/>
          </w:tcPr>
          <w:p w:rsidR="006D22F8" w:rsidRPr="00B06D8C" w:rsidRDefault="006D22F8" w:rsidP="00B06D8C">
            <w:pPr>
              <w:spacing w:before="60" w:after="60"/>
              <w:rPr>
                <w:rFonts w:cs="Arial"/>
              </w:rPr>
            </w:pPr>
          </w:p>
        </w:tc>
        <w:tc>
          <w:tcPr>
            <w:tcW w:w="1415" w:type="dxa"/>
            <w:vAlign w:val="center"/>
          </w:tcPr>
          <w:p w:rsidR="006D22F8" w:rsidRPr="00B06D8C" w:rsidRDefault="006D22F8" w:rsidP="00B06D8C">
            <w:pPr>
              <w:spacing w:before="60" w:after="60"/>
              <w:rPr>
                <w:rFonts w:cs="Arial"/>
              </w:rPr>
            </w:pPr>
          </w:p>
        </w:tc>
        <w:tc>
          <w:tcPr>
            <w:tcW w:w="1047" w:type="dxa"/>
            <w:vAlign w:val="center"/>
          </w:tcPr>
          <w:p w:rsidR="006D22F8" w:rsidRPr="00B06D8C" w:rsidRDefault="006D22F8" w:rsidP="00B06D8C">
            <w:pPr>
              <w:spacing w:before="60" w:after="60"/>
              <w:rPr>
                <w:rFonts w:cs="Arial"/>
              </w:rPr>
            </w:pPr>
          </w:p>
        </w:tc>
        <w:tc>
          <w:tcPr>
            <w:tcW w:w="1397" w:type="dxa"/>
            <w:vAlign w:val="center"/>
          </w:tcPr>
          <w:p w:rsidR="006D22F8" w:rsidRPr="00B06D8C" w:rsidRDefault="006D22F8" w:rsidP="00B06D8C">
            <w:pPr>
              <w:spacing w:before="60" w:after="60"/>
              <w:rPr>
                <w:rFonts w:cs="Arial"/>
              </w:rPr>
            </w:pPr>
          </w:p>
        </w:tc>
      </w:tr>
    </w:tbl>
    <w:p w:rsidR="00C1506B" w:rsidRPr="008C4B06" w:rsidRDefault="00C1506B" w:rsidP="00A547CD">
      <w:pPr>
        <w:rPr>
          <w:rFonts w:cs="Arial"/>
        </w:rPr>
      </w:pPr>
    </w:p>
    <w:p w:rsidR="00C1506B" w:rsidRPr="008C4B06" w:rsidRDefault="006D22F8" w:rsidP="006D22F8">
      <w:pPr>
        <w:spacing w:after="120"/>
        <w:rPr>
          <w:rFonts w:cs="Arial"/>
          <w:szCs w:val="18"/>
        </w:rPr>
      </w:pPr>
      <w:r w:rsidRPr="008C4B06">
        <w:rPr>
          <w:rFonts w:cs="Arial"/>
          <w:szCs w:val="18"/>
        </w:rPr>
        <w:t>Klient tímto potvrzuje, že veškerá jeho prohlášení učiněná ve Smlouvě (včetně prohlášení obsažených v Úvěrových podmínkách) jsou pravdivá, úplná a nezavádějící ke dni doručení této Žádosti Bance.</w:t>
      </w:r>
    </w:p>
    <w:p w:rsidR="006D22F8" w:rsidRDefault="006D22F8" w:rsidP="006D22F8">
      <w:pPr>
        <w:spacing w:after="120"/>
        <w:rPr>
          <w:rFonts w:cs="Arial"/>
        </w:rPr>
      </w:pPr>
      <w:r w:rsidRPr="008C4B06">
        <w:rPr>
          <w:rFonts w:cs="Arial"/>
          <w:szCs w:val="18"/>
        </w:rPr>
        <w:t xml:space="preserve">Klient prohlašuje, že </w:t>
      </w:r>
      <w:r w:rsidRPr="008C4B06">
        <w:rPr>
          <w:rFonts w:cs="Arial"/>
        </w:rPr>
        <w:t>ke dni doručení této Žádosti Bance neexistuje ani nehrozí Případ porušení ani nehrozí, že v důsledku Čerpání vznikne Případ porušení.</w:t>
      </w:r>
    </w:p>
    <w:p w:rsidR="00195AB7" w:rsidRDefault="00195AB7" w:rsidP="006D22F8">
      <w:pPr>
        <w:spacing w:after="120"/>
        <w:rPr>
          <w:rFonts w:cs="Arial"/>
        </w:rPr>
      </w:pPr>
    </w:p>
    <w:p w:rsidR="00195AB7" w:rsidRDefault="00195AB7" w:rsidP="006D22F8">
      <w:pPr>
        <w:spacing w:after="120"/>
        <w:rPr>
          <w:rFonts w:cs="Arial"/>
        </w:rPr>
      </w:pPr>
    </w:p>
    <w:p w:rsidR="00195AB7" w:rsidRDefault="00195AB7" w:rsidP="006D22F8">
      <w:pPr>
        <w:spacing w:after="120"/>
        <w:rPr>
          <w:rFonts w:cs="Arial"/>
        </w:rPr>
      </w:pPr>
    </w:p>
    <w:p w:rsidR="00195AB7" w:rsidRDefault="00195AB7" w:rsidP="006D22F8">
      <w:pPr>
        <w:spacing w:after="120"/>
        <w:rPr>
          <w:rFonts w:cs="Arial"/>
        </w:rPr>
      </w:pPr>
    </w:p>
    <w:p w:rsidR="00195AB7" w:rsidRDefault="00195AB7" w:rsidP="006D22F8">
      <w:pPr>
        <w:spacing w:after="120"/>
        <w:rPr>
          <w:rFonts w:cs="Arial"/>
        </w:rPr>
      </w:pPr>
    </w:p>
    <w:p w:rsidR="00195AB7" w:rsidRPr="008C4B06" w:rsidRDefault="00195AB7" w:rsidP="006D22F8">
      <w:pPr>
        <w:spacing w:after="120"/>
        <w:rPr>
          <w:rFonts w:cs="Arial"/>
        </w:rPr>
      </w:pPr>
    </w:p>
    <w:tbl>
      <w:tblPr>
        <w:tblW w:w="0" w:type="auto"/>
        <w:tblBorders>
          <w:top w:val="single" w:sz="4" w:space="0" w:color="auto"/>
        </w:tblBorders>
        <w:tblLook w:val="01E0" w:firstRow="1" w:lastRow="1" w:firstColumn="1" w:lastColumn="1" w:noHBand="0" w:noVBand="0"/>
      </w:tblPr>
      <w:tblGrid>
        <w:gridCol w:w="4786"/>
      </w:tblGrid>
      <w:tr w:rsidR="006D22F8" w:rsidRPr="00B06D8C" w:rsidTr="00B06D8C">
        <w:tc>
          <w:tcPr>
            <w:tcW w:w="4786" w:type="dxa"/>
          </w:tcPr>
          <w:p w:rsidR="00195AB7" w:rsidRDefault="00195AB7" w:rsidP="00B06D8C">
            <w:pPr>
              <w:spacing w:before="40"/>
              <w:rPr>
                <w:rFonts w:cs="Arial"/>
              </w:rPr>
            </w:pPr>
          </w:p>
          <w:p w:rsidR="00195AB7" w:rsidRDefault="006D22F8" w:rsidP="00B06D8C">
            <w:pPr>
              <w:spacing w:before="40"/>
              <w:rPr>
                <w:rFonts w:cs="Arial"/>
              </w:rPr>
            </w:pPr>
            <w:proofErr w:type="gramStart"/>
            <w:r w:rsidRPr="008C4B06">
              <w:rPr>
                <w:rFonts w:cs="Arial"/>
              </w:rPr>
              <w:t>V</w:t>
            </w:r>
            <w:proofErr w:type="gramEnd"/>
            <w:r w:rsidR="00195AB7">
              <w:rPr>
                <w:rFonts w:cs="Arial"/>
              </w:rPr>
              <w:t> Veselí nad Moravou</w:t>
            </w:r>
            <w:r w:rsidRPr="008C4B06">
              <w:rPr>
                <w:rFonts w:cs="Arial"/>
              </w:rPr>
              <w:t xml:space="preserve"> dne </w:t>
            </w:r>
          </w:p>
          <w:p w:rsidR="006D22F8" w:rsidRPr="00B06D8C" w:rsidRDefault="006D22F8" w:rsidP="00B06D8C">
            <w:pPr>
              <w:spacing w:before="40"/>
              <w:rPr>
                <w:rFonts w:cs="Arial"/>
                <w:sz w:val="16"/>
                <w:szCs w:val="16"/>
              </w:rPr>
            </w:pPr>
            <w:r w:rsidRPr="00B06D8C">
              <w:rPr>
                <w:rFonts w:cs="Arial"/>
                <w:sz w:val="16"/>
                <w:szCs w:val="16"/>
              </w:rPr>
              <w:t>podpis Klienta</w:t>
            </w:r>
          </w:p>
        </w:tc>
      </w:tr>
    </w:tbl>
    <w:p w:rsidR="00C1506B" w:rsidRPr="008C4B06" w:rsidRDefault="00C1506B" w:rsidP="00910D6F">
      <w:pPr>
        <w:rPr>
          <w:rFonts w:cs="Arial"/>
        </w:rPr>
      </w:pPr>
    </w:p>
    <w:sectPr w:rsidR="00C1506B" w:rsidRPr="008C4B06" w:rsidSect="003E2069">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417" w:left="1417" w:header="454" w:footer="39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A49" w:rsidRDefault="008E5A49">
      <w:r>
        <w:separator/>
      </w:r>
    </w:p>
  </w:endnote>
  <w:endnote w:type="continuationSeparator" w:id="0">
    <w:p w:rsidR="008E5A49" w:rsidRDefault="008E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KBlogo">
    <w:altName w:val="ZapfDingbats"/>
    <w:charset w:val="02"/>
    <w:family w:val="auto"/>
    <w:pitch w:val="variable"/>
    <w:sig w:usb0="00000000" w:usb1="10000000" w:usb2="00000000" w:usb3="00000000" w:csb0="80000000" w:csb1="00000000"/>
  </w:font>
  <w:font w:name="Univers CE">
    <w:altName w:val="Calibri"/>
    <w:panose1 w:val="00000000000000000000"/>
    <w:charset w:val="EE"/>
    <w:family w:val="swiss"/>
    <w:notTrueTyp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B5E" w:rsidRDefault="00B45B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601"/>
      <w:gridCol w:w="4038"/>
    </w:tblGrid>
    <w:tr w:rsidR="00E06556">
      <w:tc>
        <w:tcPr>
          <w:tcW w:w="5601" w:type="dxa"/>
          <w:tcBorders>
            <w:top w:val="nil"/>
            <w:left w:val="nil"/>
            <w:bottom w:val="nil"/>
            <w:right w:val="nil"/>
          </w:tcBorders>
        </w:tcPr>
        <w:p w:rsidR="00E06556" w:rsidRDefault="00E06556" w:rsidP="003262CB">
          <w:pPr>
            <w:pStyle w:val="kbFixedtext"/>
            <w:spacing w:before="100"/>
          </w:pPr>
          <w:r>
            <w:t xml:space="preserve">Komerční banka, a.s., se sídlem: </w:t>
          </w:r>
        </w:p>
        <w:p w:rsidR="00E06556" w:rsidRDefault="00E06556" w:rsidP="003262CB">
          <w:pPr>
            <w:pStyle w:val="kbFixedtext"/>
          </w:pPr>
          <w:r>
            <w:t>Praha 1, Na Příkopě 33 čp. 969, PSČ 114 07, IČO: 45317054</w:t>
          </w:r>
        </w:p>
        <w:p w:rsidR="00E06556" w:rsidRDefault="00E06556" w:rsidP="003262CB">
          <w:pPr>
            <w:pStyle w:val="kbRegistration"/>
          </w:pPr>
          <w:r>
            <w:t>ZAPSANÁ V OBCHODNÍM REJSTŘÍKU VEDENÉM MĚSTSKÝm SOUDEM V PRAZE, ODDÍL B, VLOŽKA 1360</w:t>
          </w:r>
        </w:p>
      </w:tc>
      <w:tc>
        <w:tcPr>
          <w:tcW w:w="4038" w:type="dxa"/>
          <w:tcBorders>
            <w:top w:val="nil"/>
            <w:left w:val="nil"/>
            <w:bottom w:val="nil"/>
            <w:right w:val="nil"/>
          </w:tcBorders>
        </w:tcPr>
        <w:p w:rsidR="00E06556" w:rsidRDefault="00E06556" w:rsidP="003262CB">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9513A3">
            <w:rPr>
              <w:rStyle w:val="slostrnky"/>
              <w:noProof/>
            </w:rPr>
            <w:t>19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513A3">
            <w:rPr>
              <w:rStyle w:val="slostrnky"/>
              <w:noProof/>
            </w:rPr>
            <w:t>19</w:t>
          </w:r>
          <w:r>
            <w:rPr>
              <w:rStyle w:val="slostrnky"/>
            </w:rPr>
            <w:fldChar w:fldCharType="end"/>
          </w:r>
        </w:p>
        <w:p w:rsidR="00E06556" w:rsidRPr="006F5903" w:rsidRDefault="00E06556" w:rsidP="003262CB">
          <w:pPr>
            <w:pStyle w:val="Registration"/>
            <w:jc w:val="right"/>
            <w:rPr>
              <w:szCs w:val="8"/>
            </w:rPr>
          </w:pPr>
          <w:r w:rsidRPr="006F5903">
            <w:rPr>
              <w:szCs w:val="8"/>
            </w:rPr>
            <w:t xml:space="preserve">Datum účinnosti šablony </w:t>
          </w:r>
          <w:r>
            <w:rPr>
              <w:szCs w:val="8"/>
            </w:rPr>
            <w:t>13</w:t>
          </w:r>
          <w:r w:rsidRPr="006F5903">
            <w:rPr>
              <w:szCs w:val="8"/>
            </w:rPr>
            <w:t xml:space="preserve">. </w:t>
          </w:r>
          <w:r>
            <w:rPr>
              <w:szCs w:val="8"/>
            </w:rPr>
            <w:t>3</w:t>
          </w:r>
          <w:r w:rsidRPr="006F5903">
            <w:rPr>
              <w:szCs w:val="8"/>
            </w:rPr>
            <w:t>. 201</w:t>
          </w:r>
          <w:r>
            <w:rPr>
              <w:szCs w:val="8"/>
            </w:rPr>
            <w:t>7</w:t>
          </w:r>
        </w:p>
        <w:p w:rsidR="00E06556" w:rsidRDefault="00E06556" w:rsidP="003262CB">
          <w:pPr>
            <w:pStyle w:val="Registration"/>
            <w:jc w:val="right"/>
          </w:pPr>
          <w:r w:rsidRPr="006F5903">
            <w:rPr>
              <w:szCs w:val="8"/>
            </w:rPr>
            <w:t xml:space="preserve">Ver f smluvflx.DOT </w:t>
          </w:r>
          <w:r w:rsidRPr="006F5903">
            <w:rPr>
              <w:szCs w:val="8"/>
            </w:rPr>
            <w:fldChar w:fldCharType="begin"/>
          </w:r>
          <w:r w:rsidRPr="006F5903">
            <w:rPr>
              <w:szCs w:val="8"/>
            </w:rPr>
            <w:instrText>\DATE</w:instrText>
          </w:r>
          <w:r w:rsidRPr="006F5903">
            <w:rPr>
              <w:szCs w:val="8"/>
            </w:rPr>
            <w:fldChar w:fldCharType="separate"/>
          </w:r>
          <w:r w:rsidR="009513A3">
            <w:rPr>
              <w:noProof/>
              <w:szCs w:val="8"/>
            </w:rPr>
            <w:t>31.07.2017</w:t>
          </w:r>
          <w:r w:rsidRPr="006F5903">
            <w:rPr>
              <w:szCs w:val="8"/>
            </w:rPr>
            <w:fldChar w:fldCharType="end"/>
          </w:r>
          <w:r w:rsidRPr="006F5903">
            <w:rPr>
              <w:szCs w:val="8"/>
            </w:rPr>
            <w:t xml:space="preserve"> </w:t>
          </w:r>
          <w:r w:rsidRPr="006F5903">
            <w:rPr>
              <w:szCs w:val="8"/>
            </w:rPr>
            <w:fldChar w:fldCharType="begin"/>
          </w:r>
          <w:r w:rsidRPr="006F5903">
            <w:rPr>
              <w:szCs w:val="8"/>
            </w:rPr>
            <w:instrText>\TIME</w:instrText>
          </w:r>
          <w:r w:rsidRPr="006F5903">
            <w:rPr>
              <w:szCs w:val="8"/>
            </w:rPr>
            <w:fldChar w:fldCharType="separate"/>
          </w:r>
          <w:r w:rsidR="009513A3">
            <w:rPr>
              <w:noProof/>
              <w:szCs w:val="8"/>
            </w:rPr>
            <w:t>3:19 odp.</w:t>
          </w:r>
          <w:r w:rsidRPr="006F5903">
            <w:rPr>
              <w:szCs w:val="8"/>
            </w:rPr>
            <w:fldChar w:fldCharType="end"/>
          </w:r>
        </w:p>
      </w:tc>
    </w:tr>
  </w:tbl>
  <w:p w:rsidR="00E06556" w:rsidRDefault="00E06556" w:rsidP="003262CB">
    <w:pPr>
      <w:pStyle w:val="Zhlav"/>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B5E" w:rsidRDefault="00B45B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A49" w:rsidRDefault="008E5A49">
      <w:r>
        <w:separator/>
      </w:r>
    </w:p>
  </w:footnote>
  <w:footnote w:type="continuationSeparator" w:id="0">
    <w:p w:rsidR="008E5A49" w:rsidRDefault="008E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B5E" w:rsidRDefault="00B45B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3" w:type="dxa"/>
      <w:tblInd w:w="-170" w:type="dxa"/>
      <w:tblLayout w:type="fixed"/>
      <w:tblCellMar>
        <w:left w:w="70" w:type="dxa"/>
        <w:right w:w="70" w:type="dxa"/>
      </w:tblCellMar>
      <w:tblLook w:val="0000" w:firstRow="0" w:lastRow="0" w:firstColumn="0" w:lastColumn="0" w:noHBand="0" w:noVBand="0"/>
    </w:tblPr>
    <w:tblGrid>
      <w:gridCol w:w="7470"/>
      <w:gridCol w:w="3543"/>
    </w:tblGrid>
    <w:tr w:rsidR="00E06556">
      <w:tc>
        <w:tcPr>
          <w:tcW w:w="7470" w:type="dxa"/>
        </w:tcPr>
        <w:p w:rsidR="00E06556" w:rsidRDefault="00E06556" w:rsidP="003262CB">
          <w:pPr>
            <w:rPr>
              <w:rFonts w:ascii="Univers CE" w:hAnsi="Univers CE"/>
            </w:rPr>
          </w:pPr>
          <w:r>
            <w:rPr>
              <w:rFonts w:ascii="KBlogo" w:hAnsi="KBlogo"/>
              <w:sz w:val="108"/>
            </w:rPr>
            <w:t></w:t>
          </w:r>
        </w:p>
      </w:tc>
      <w:tc>
        <w:tcPr>
          <w:tcW w:w="3543" w:type="dxa"/>
        </w:tcPr>
        <w:p w:rsidR="00E06556" w:rsidRDefault="00E06556" w:rsidP="003262CB">
          <w:pPr>
            <w:pStyle w:val="kbDocumentnameextrenal"/>
            <w:tabs>
              <w:tab w:val="clear" w:pos="6167"/>
              <w:tab w:val="right" w:pos="2339"/>
            </w:tabs>
          </w:pPr>
          <w:r>
            <w:tab/>
            <w:t>Smlouva o úvěru</w:t>
          </w:r>
        </w:p>
      </w:tc>
    </w:tr>
  </w:tbl>
  <w:p w:rsidR="00E06556" w:rsidRDefault="00E06556" w:rsidP="003262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B5E" w:rsidRDefault="00B45B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10715A8"/>
    <w:multiLevelType w:val="multilevel"/>
    <w:tmpl w:val="29CCBFEC"/>
    <w:lvl w:ilvl="0">
      <w:start w:val="1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6A6288"/>
    <w:multiLevelType w:val="hybridMultilevel"/>
    <w:tmpl w:val="A40858D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2085E85"/>
    <w:multiLevelType w:val="multilevel"/>
    <w:tmpl w:val="FA56427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4F24342"/>
    <w:multiLevelType w:val="hybridMultilevel"/>
    <w:tmpl w:val="61B4B5C8"/>
    <w:lvl w:ilvl="0" w:tplc="04050015">
      <w:start w:val="1"/>
      <w:numFmt w:val="upperLetter"/>
      <w:lvlText w:val="%1."/>
      <w:lvlJc w:val="left"/>
      <w:pPr>
        <w:tabs>
          <w:tab w:val="num" w:pos="720"/>
        </w:tabs>
        <w:ind w:left="720" w:hanging="360"/>
      </w:pPr>
    </w:lvl>
    <w:lvl w:ilvl="1" w:tplc="04050017">
      <w:start w:val="1"/>
      <w:numFmt w:val="lowerLetter"/>
      <w:lvlText w:val="%2)"/>
      <w:lvlJc w:val="left"/>
      <w:pPr>
        <w:tabs>
          <w:tab w:val="num" w:pos="1353"/>
        </w:tabs>
        <w:ind w:left="1353" w:hanging="360"/>
      </w:pPr>
    </w:lvl>
    <w:lvl w:ilvl="2" w:tplc="04050017">
      <w:start w:val="1"/>
      <w:numFmt w:val="lowerLetter"/>
      <w:lvlText w:val="%3)"/>
      <w:lvlJc w:val="left"/>
      <w:pPr>
        <w:tabs>
          <w:tab w:val="num" w:pos="2340"/>
        </w:tabs>
        <w:ind w:left="2340" w:hanging="360"/>
      </w:pPr>
    </w:lvl>
    <w:lvl w:ilvl="3" w:tplc="04050017">
      <w:start w:val="1"/>
      <w:numFmt w:val="lowerLetter"/>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4069C8"/>
    <w:multiLevelType w:val="multilevel"/>
    <w:tmpl w:val="1AF2FE8A"/>
    <w:lvl w:ilvl="0">
      <w:start w:val="1"/>
      <w:numFmt w:val="decimal"/>
      <w:pStyle w:val="Nadpis1"/>
      <w:lvlText w:val="%1."/>
      <w:lvlJc w:val="left"/>
      <w:pPr>
        <w:tabs>
          <w:tab w:val="num" w:pos="360"/>
        </w:tabs>
        <w:ind w:left="360" w:hanging="425"/>
      </w:pPr>
      <w:rPr>
        <w:rFonts w:ascii="Arial" w:hAnsi="Arial" w:hint="default"/>
        <w:b/>
        <w:i w:val="0"/>
        <w:sz w:val="18"/>
        <w:szCs w:val="18"/>
      </w:rPr>
    </w:lvl>
    <w:lvl w:ilvl="1">
      <w:start w:val="1"/>
      <w:numFmt w:val="decimal"/>
      <w:pStyle w:val="Nadpis2"/>
      <w:lvlText w:val="%1.%2"/>
      <w:lvlJc w:val="left"/>
      <w:pPr>
        <w:tabs>
          <w:tab w:val="num" w:pos="425"/>
        </w:tabs>
        <w:ind w:left="425" w:hanging="425"/>
      </w:pPr>
      <w:rPr>
        <w:rFonts w:ascii="Arial" w:hAnsi="Arial" w:hint="default"/>
        <w:b w:val="0"/>
        <w:i w:val="0"/>
        <w:sz w:val="18"/>
        <w:szCs w:val="18"/>
      </w:rPr>
    </w:lvl>
    <w:lvl w:ilvl="2">
      <w:start w:val="1"/>
      <w:numFmt w:val="lowerLetter"/>
      <w:pStyle w:val="Nadpis3"/>
      <w:lvlText w:val="%3)"/>
      <w:lvlJc w:val="left"/>
      <w:pPr>
        <w:tabs>
          <w:tab w:val="num" w:pos="851"/>
        </w:tabs>
        <w:ind w:left="851" w:hanging="426"/>
      </w:pPr>
      <w:rPr>
        <w:rFonts w:ascii="Arial" w:hAnsi="Arial" w:hint="default"/>
        <w:b w:val="0"/>
        <w:i w:val="0"/>
        <w:sz w:val="18"/>
        <w:szCs w:val="18"/>
      </w:rPr>
    </w:lvl>
    <w:lvl w:ilvl="3">
      <w:start w:val="1"/>
      <w:numFmt w:val="decimal"/>
      <w:pStyle w:val="Nadpis4"/>
      <w:lvlText w:val="%1.%2.%4"/>
      <w:lvlJc w:val="left"/>
      <w:pPr>
        <w:tabs>
          <w:tab w:val="num" w:pos="360"/>
        </w:tabs>
        <w:ind w:left="360" w:firstLine="0"/>
      </w:pPr>
      <w:rPr>
        <w:rFonts w:ascii="Arial" w:hAnsi="Arial" w:hint="default"/>
        <w:b w:val="0"/>
        <w:i w:val="0"/>
        <w:sz w:val="18"/>
        <w:szCs w:val="18"/>
      </w:rPr>
    </w:lvl>
    <w:lvl w:ilvl="4">
      <w:start w:val="1"/>
      <w:numFmt w:val="decimal"/>
      <w:pStyle w:val="Nadpis5"/>
      <w:lvlText w:val="%1.%2.%3.%4.%5"/>
      <w:lvlJc w:val="left"/>
      <w:pPr>
        <w:tabs>
          <w:tab w:val="num" w:pos="360"/>
        </w:tabs>
        <w:ind w:left="360" w:firstLine="0"/>
      </w:pPr>
      <w:rPr>
        <w:rFonts w:hint="default"/>
      </w:rPr>
    </w:lvl>
    <w:lvl w:ilvl="5">
      <w:start w:val="1"/>
      <w:numFmt w:val="decimal"/>
      <w:pStyle w:val="Nadpis6"/>
      <w:lvlText w:val="%1.%2.%3.%4.%5.%6"/>
      <w:lvlJc w:val="left"/>
      <w:pPr>
        <w:tabs>
          <w:tab w:val="num" w:pos="360"/>
        </w:tabs>
        <w:ind w:left="360" w:firstLine="0"/>
      </w:pPr>
      <w:rPr>
        <w:rFonts w:hint="default"/>
      </w:rPr>
    </w:lvl>
    <w:lvl w:ilvl="6">
      <w:start w:val="1"/>
      <w:numFmt w:val="decimal"/>
      <w:pStyle w:val="Nadpis7"/>
      <w:lvlText w:val="%1.%2.%3.%4.%5.%6.%7"/>
      <w:lvlJc w:val="left"/>
      <w:pPr>
        <w:tabs>
          <w:tab w:val="num" w:pos="360"/>
        </w:tabs>
        <w:ind w:left="360" w:firstLine="0"/>
      </w:pPr>
      <w:rPr>
        <w:rFonts w:hint="default"/>
      </w:rPr>
    </w:lvl>
    <w:lvl w:ilvl="7">
      <w:start w:val="1"/>
      <w:numFmt w:val="decimal"/>
      <w:pStyle w:val="Nadpis8"/>
      <w:lvlText w:val="%1.%2.%3.%4.%5.%6.%7.%8"/>
      <w:lvlJc w:val="left"/>
      <w:pPr>
        <w:tabs>
          <w:tab w:val="num" w:pos="360"/>
        </w:tabs>
        <w:ind w:left="360" w:firstLine="0"/>
      </w:pPr>
      <w:rPr>
        <w:rFonts w:hint="default"/>
      </w:rPr>
    </w:lvl>
    <w:lvl w:ilvl="8">
      <w:start w:val="1"/>
      <w:numFmt w:val="decimal"/>
      <w:pStyle w:val="Nadpis9"/>
      <w:lvlText w:val="%1.%2.%3.%4.%5.%6.%7.%8.%9"/>
      <w:lvlJc w:val="left"/>
      <w:pPr>
        <w:tabs>
          <w:tab w:val="num" w:pos="360"/>
        </w:tabs>
        <w:ind w:left="360" w:firstLine="0"/>
      </w:pPr>
      <w:rPr>
        <w:rFonts w:hint="default"/>
      </w:rPr>
    </w:lvl>
  </w:abstractNum>
  <w:abstractNum w:abstractNumId="6" w15:restartNumberingAfterBreak="0">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22A41754"/>
    <w:multiLevelType w:val="multilevel"/>
    <w:tmpl w:val="5B02B528"/>
    <w:lvl w:ilvl="0">
      <w:start w:val="12"/>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C933B0"/>
    <w:multiLevelType w:val="multilevel"/>
    <w:tmpl w:val="5FEEC3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DEC48EB"/>
    <w:multiLevelType w:val="hybridMultilevel"/>
    <w:tmpl w:val="655E489C"/>
    <w:lvl w:ilvl="0" w:tplc="E6E232CA">
      <w:start w:val="1"/>
      <w:numFmt w:val="bullet"/>
      <w:lvlText w:val=""/>
      <w:lvlJc w:val="left"/>
      <w:pPr>
        <w:tabs>
          <w:tab w:val="num" w:pos="1985"/>
        </w:tabs>
        <w:ind w:left="1985" w:hanging="426"/>
      </w:pPr>
      <w:rPr>
        <w:rFonts w:ascii="Arial" w:hAnsi="Arial" w:hint="default"/>
        <w:b w:val="0"/>
        <w:i w:val="0"/>
        <w:vanish w:val="0"/>
        <w:color w:val="FF0000"/>
        <w:sz w:val="18"/>
        <w:szCs w:val="18"/>
      </w:rPr>
    </w:lvl>
    <w:lvl w:ilvl="1" w:tplc="04050003" w:tentative="1">
      <w:start w:val="1"/>
      <w:numFmt w:val="bullet"/>
      <w:lvlText w:val="o"/>
      <w:lvlJc w:val="left"/>
      <w:pPr>
        <w:tabs>
          <w:tab w:val="num" w:pos="2574"/>
        </w:tabs>
        <w:ind w:left="2574" w:hanging="360"/>
      </w:pPr>
      <w:rPr>
        <w:rFonts w:ascii="Courier New" w:hAnsi="Courier New" w:cs="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cs="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cs="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401C2765"/>
    <w:multiLevelType w:val="multilevel"/>
    <w:tmpl w:val="2DEE80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0913C4E"/>
    <w:multiLevelType w:val="hybridMultilevel"/>
    <w:tmpl w:val="7E725B2A"/>
    <w:lvl w:ilvl="0" w:tplc="A67EAAF8">
      <w:start w:val="1"/>
      <w:numFmt w:val="decimal"/>
      <w:lvlText w:val="%1."/>
      <w:lvlJc w:val="left"/>
      <w:pPr>
        <w:ind w:left="532" w:hanging="39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12" w15:restartNumberingAfterBreak="0">
    <w:nsid w:val="4580116B"/>
    <w:multiLevelType w:val="hybridMultilevel"/>
    <w:tmpl w:val="EB9678FA"/>
    <w:lvl w:ilvl="0" w:tplc="04050015">
      <w:start w:val="1"/>
      <w:numFmt w:val="upp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17">
      <w:start w:val="1"/>
      <w:numFmt w:val="lowerLetter"/>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6CC55C0"/>
    <w:multiLevelType w:val="hybridMultilevel"/>
    <w:tmpl w:val="BE8A6D48"/>
    <w:lvl w:ilvl="0" w:tplc="04050015">
      <w:start w:val="1"/>
      <w:numFmt w:val="upp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17">
      <w:start w:val="1"/>
      <w:numFmt w:val="lowerLetter"/>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B826E4"/>
    <w:multiLevelType w:val="hybridMultilevel"/>
    <w:tmpl w:val="420C3596"/>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890760A"/>
    <w:multiLevelType w:val="multilevel"/>
    <w:tmpl w:val="E0244576"/>
    <w:lvl w:ilvl="0">
      <w:start w:val="8"/>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2.1"/>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A1A7AC1"/>
    <w:multiLevelType w:val="hybridMultilevel"/>
    <w:tmpl w:val="299CB846"/>
    <w:lvl w:ilvl="0" w:tplc="04050001">
      <w:start w:val="1"/>
      <w:numFmt w:val="bullet"/>
      <w:lvlText w:val=""/>
      <w:lvlJc w:val="left"/>
      <w:pPr>
        <w:tabs>
          <w:tab w:val="num" w:pos="1146"/>
        </w:tabs>
        <w:ind w:left="1146" w:hanging="360"/>
      </w:pPr>
      <w:rPr>
        <w:rFonts w:ascii="Symbol" w:hAnsi="Symbol" w:hint="default"/>
      </w:rPr>
    </w:lvl>
    <w:lvl w:ilvl="1" w:tplc="04050001">
      <w:start w:val="1"/>
      <w:numFmt w:val="bullet"/>
      <w:lvlText w:val=""/>
      <w:lvlJc w:val="left"/>
      <w:pPr>
        <w:tabs>
          <w:tab w:val="num" w:pos="1146"/>
        </w:tabs>
        <w:ind w:left="1146" w:hanging="360"/>
      </w:pPr>
      <w:rPr>
        <w:rFonts w:ascii="Symbol" w:hAnsi="Symbol"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C837F3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8B1AC1"/>
    <w:multiLevelType w:val="multilevel"/>
    <w:tmpl w:val="C324DD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5141CE4"/>
    <w:multiLevelType w:val="multilevel"/>
    <w:tmpl w:val="909AF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vanish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B03598A"/>
    <w:multiLevelType w:val="multilevel"/>
    <w:tmpl w:val="A798F3F6"/>
    <w:lvl w:ilvl="0">
      <w:start w:val="14"/>
      <w:numFmt w:val="decimal"/>
      <w:lvlText w:val="%1"/>
      <w:lvlJc w:val="left"/>
      <w:pPr>
        <w:tabs>
          <w:tab w:val="num" w:pos="570"/>
        </w:tabs>
        <w:ind w:left="570" w:hanging="570"/>
      </w:pPr>
      <w:rPr>
        <w:rFonts w:cs="Arial" w:hint="default"/>
      </w:rPr>
    </w:lvl>
    <w:lvl w:ilvl="1">
      <w:start w:val="1"/>
      <w:numFmt w:val="decimal"/>
      <w:lvlText w:val="%1.%2"/>
      <w:lvlJc w:val="left"/>
      <w:pPr>
        <w:tabs>
          <w:tab w:val="num" w:pos="570"/>
        </w:tabs>
        <w:ind w:left="570" w:hanging="57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720"/>
        </w:tabs>
        <w:ind w:left="720" w:hanging="72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21" w15:restartNumberingAfterBreak="0">
    <w:nsid w:val="5BDC537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0AE2C12"/>
    <w:multiLevelType w:val="multilevel"/>
    <w:tmpl w:val="152A6DFE"/>
    <w:lvl w:ilvl="0">
      <w:start w:val="12"/>
      <w:numFmt w:val="decimal"/>
      <w:lvlText w:val="%1"/>
      <w:lvlJc w:val="left"/>
      <w:pPr>
        <w:tabs>
          <w:tab w:val="num" w:pos="360"/>
        </w:tabs>
        <w:ind w:left="360" w:hanging="360"/>
      </w:pPr>
      <w:rPr>
        <w:rFonts w:hint="default"/>
      </w:rPr>
    </w:lvl>
    <w:lvl w:ilvl="1">
      <w:start w:val="5"/>
      <w:numFmt w:val="decimal"/>
      <w:lvlText w:val="%1.%2"/>
      <w:lvlJc w:val="left"/>
      <w:pPr>
        <w:tabs>
          <w:tab w:val="num" w:pos="785"/>
        </w:tabs>
        <w:ind w:left="785" w:hanging="360"/>
      </w:pPr>
      <w:rPr>
        <w:rFonts w:hint="default"/>
      </w:rPr>
    </w:lvl>
    <w:lvl w:ilvl="2">
      <w:start w:val="2"/>
      <w:numFmt w:val="decimal"/>
      <w:lvlText w:val="12.4.%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23" w15:restartNumberingAfterBreak="0">
    <w:nsid w:val="61B52CBE"/>
    <w:multiLevelType w:val="hybridMultilevel"/>
    <w:tmpl w:val="54641640"/>
    <w:lvl w:ilvl="0" w:tplc="26D2C4B8">
      <w:start w:val="1"/>
      <w:numFmt w:val="bullet"/>
      <w:pStyle w:val="Odrazka-ctverecek"/>
      <w:lvlText w:val="■"/>
      <w:lvlJc w:val="left"/>
      <w:pPr>
        <w:tabs>
          <w:tab w:val="num" w:pos="1418"/>
        </w:tabs>
        <w:ind w:left="1418" w:hanging="284"/>
      </w:pPr>
      <w:rPr>
        <w:rFonts w:ascii="Arial" w:hAnsi="Arial" w:hint="default"/>
        <w:b w:val="0"/>
        <w:i w:val="0"/>
        <w:sz w:val="14"/>
        <w:szCs w:val="14"/>
      </w:rPr>
    </w:lvl>
    <w:lvl w:ilvl="1" w:tplc="04050003" w:tentative="1">
      <w:start w:val="1"/>
      <w:numFmt w:val="bullet"/>
      <w:lvlText w:val="o"/>
      <w:lvlJc w:val="left"/>
      <w:pPr>
        <w:tabs>
          <w:tab w:val="num" w:pos="2574"/>
        </w:tabs>
        <w:ind w:left="2574" w:hanging="360"/>
      </w:pPr>
      <w:rPr>
        <w:rFonts w:ascii="Courier New" w:hAnsi="Courier New" w:cs="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cs="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cs="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7903338C"/>
    <w:multiLevelType w:val="hybridMultilevel"/>
    <w:tmpl w:val="55143362"/>
    <w:lvl w:ilvl="0" w:tplc="493CD470">
      <w:start w:val="1"/>
      <w:numFmt w:val="decimal"/>
      <w:lvlText w:val="%1."/>
      <w:lvlJc w:val="left"/>
      <w:pPr>
        <w:tabs>
          <w:tab w:val="num" w:pos="1211"/>
        </w:tabs>
        <w:ind w:left="1211" w:hanging="360"/>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25" w15:restartNumberingAfterBreak="0">
    <w:nsid w:val="7A3640D2"/>
    <w:multiLevelType w:val="hybridMultilevel"/>
    <w:tmpl w:val="093CBF6E"/>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cs="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cs="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cs="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A4D23C1"/>
    <w:multiLevelType w:val="hybridMultilevel"/>
    <w:tmpl w:val="F5BA6334"/>
    <w:lvl w:ilvl="0" w:tplc="53B49A8E">
      <w:start w:val="1"/>
      <w:numFmt w:val="bullet"/>
      <w:lvlText w:val=""/>
      <w:lvlJc w:val="left"/>
      <w:pPr>
        <w:tabs>
          <w:tab w:val="num" w:pos="851"/>
        </w:tabs>
        <w:ind w:left="851" w:hanging="426"/>
      </w:pPr>
      <w:rPr>
        <w:rFonts w:ascii="Arial" w:hAnsi="Arial" w:hint="default"/>
        <w:b w:val="0"/>
        <w:i w:val="0"/>
        <w:vanish w:val="0"/>
        <w:color w:val="FF0000"/>
        <w:sz w:val="18"/>
        <w:szCs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7"/>
  </w:num>
  <w:num w:numId="4">
    <w:abstractNumId w:val="21"/>
  </w:num>
  <w:num w:numId="5">
    <w:abstractNumId w:val="19"/>
  </w:num>
  <w:num w:numId="6">
    <w:abstractNumId w:val="3"/>
  </w:num>
  <w:num w:numId="7">
    <w:abstractNumId w:val="10"/>
  </w:num>
  <w:num w:numId="8">
    <w:abstractNumId w:val="18"/>
  </w:num>
  <w:num w:numId="9">
    <w:abstractNumId w:val="15"/>
  </w:num>
  <w:num w:numId="10">
    <w:abstractNumId w:val="5"/>
  </w:num>
  <w:num w:numId="11">
    <w:abstractNumId w:val="5"/>
  </w:num>
  <w:num w:numId="12">
    <w:abstractNumId w:val="5"/>
  </w:num>
  <w:num w:numId="13">
    <w:abstractNumId w:val="5"/>
  </w:num>
  <w:num w:numId="14">
    <w:abstractNumId w:val="8"/>
  </w:num>
  <w:num w:numId="15">
    <w:abstractNumId w:val="20"/>
  </w:num>
  <w:num w:numId="16">
    <w:abstractNumId w:val="24"/>
  </w:num>
  <w:num w:numId="17">
    <w:abstractNumId w:val="6"/>
  </w:num>
  <w:num w:numId="18">
    <w:abstractNumId w:val="26"/>
  </w:num>
  <w:num w:numId="19">
    <w:abstractNumId w:val="4"/>
  </w:num>
  <w:num w:numId="20">
    <w:abstractNumId w:val="12"/>
  </w:num>
  <w:num w:numId="21">
    <w:abstractNumId w:val="13"/>
  </w:num>
  <w:num w:numId="22">
    <w:abstractNumId w:val="2"/>
  </w:num>
  <w:num w:numId="23">
    <w:abstractNumId w:val="25"/>
  </w:num>
  <w:num w:numId="24">
    <w:abstractNumId w:val="14"/>
  </w:num>
  <w:num w:numId="25">
    <w:abstractNumId w:val="9"/>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5"/>
  </w:num>
  <w:num w:numId="33">
    <w:abstractNumId w:val="22"/>
  </w:num>
  <w:num w:numId="34">
    <w:abstractNumId w:val="1"/>
  </w:num>
  <w:num w:numId="35">
    <w:abstractNumId w:val="11"/>
  </w:num>
  <w:num w:numId="36">
    <w:abstractNumId w:val="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9C"/>
    <w:rsid w:val="000018B8"/>
    <w:rsid w:val="000158A2"/>
    <w:rsid w:val="0001716D"/>
    <w:rsid w:val="0002472C"/>
    <w:rsid w:val="00024C3C"/>
    <w:rsid w:val="00025DEF"/>
    <w:rsid w:val="00027225"/>
    <w:rsid w:val="0007752A"/>
    <w:rsid w:val="00086E7C"/>
    <w:rsid w:val="000B1F45"/>
    <w:rsid w:val="000B709F"/>
    <w:rsid w:val="000C30C6"/>
    <w:rsid w:val="000D262E"/>
    <w:rsid w:val="000D6F41"/>
    <w:rsid w:val="000E130B"/>
    <w:rsid w:val="0011080C"/>
    <w:rsid w:val="00123026"/>
    <w:rsid w:val="00135785"/>
    <w:rsid w:val="00151A3A"/>
    <w:rsid w:val="00166745"/>
    <w:rsid w:val="00172995"/>
    <w:rsid w:val="0019135A"/>
    <w:rsid w:val="0019572D"/>
    <w:rsid w:val="00195AB7"/>
    <w:rsid w:val="001A20C9"/>
    <w:rsid w:val="001A6916"/>
    <w:rsid w:val="001B23ED"/>
    <w:rsid w:val="001C12DF"/>
    <w:rsid w:val="001C23B5"/>
    <w:rsid w:val="001C6F56"/>
    <w:rsid w:val="001D14F0"/>
    <w:rsid w:val="001D5147"/>
    <w:rsid w:val="001D5479"/>
    <w:rsid w:val="001F6C0A"/>
    <w:rsid w:val="0020108F"/>
    <w:rsid w:val="00202E48"/>
    <w:rsid w:val="002068D7"/>
    <w:rsid w:val="002167EF"/>
    <w:rsid w:val="00224D2D"/>
    <w:rsid w:val="00227FE2"/>
    <w:rsid w:val="00233A89"/>
    <w:rsid w:val="00240E2C"/>
    <w:rsid w:val="002503A6"/>
    <w:rsid w:val="0025167E"/>
    <w:rsid w:val="00265B3A"/>
    <w:rsid w:val="00273C5B"/>
    <w:rsid w:val="00277B1A"/>
    <w:rsid w:val="00294F03"/>
    <w:rsid w:val="00295754"/>
    <w:rsid w:val="002A02E8"/>
    <w:rsid w:val="002A0E9F"/>
    <w:rsid w:val="002A6780"/>
    <w:rsid w:val="002A6E0F"/>
    <w:rsid w:val="002B1662"/>
    <w:rsid w:val="002B7F35"/>
    <w:rsid w:val="002E2449"/>
    <w:rsid w:val="002E27B0"/>
    <w:rsid w:val="002F21F5"/>
    <w:rsid w:val="0030100D"/>
    <w:rsid w:val="00305152"/>
    <w:rsid w:val="0031376B"/>
    <w:rsid w:val="003200C1"/>
    <w:rsid w:val="00323109"/>
    <w:rsid w:val="003262CB"/>
    <w:rsid w:val="003266CC"/>
    <w:rsid w:val="00327E49"/>
    <w:rsid w:val="00332148"/>
    <w:rsid w:val="003767FA"/>
    <w:rsid w:val="00376C19"/>
    <w:rsid w:val="00382AFB"/>
    <w:rsid w:val="00383854"/>
    <w:rsid w:val="0038488E"/>
    <w:rsid w:val="0038582A"/>
    <w:rsid w:val="00391168"/>
    <w:rsid w:val="0039200F"/>
    <w:rsid w:val="0039237F"/>
    <w:rsid w:val="003936E1"/>
    <w:rsid w:val="003B0243"/>
    <w:rsid w:val="003C7B38"/>
    <w:rsid w:val="003D1E5F"/>
    <w:rsid w:val="003D2046"/>
    <w:rsid w:val="003E2069"/>
    <w:rsid w:val="003E7291"/>
    <w:rsid w:val="003E778C"/>
    <w:rsid w:val="003F2496"/>
    <w:rsid w:val="0041454D"/>
    <w:rsid w:val="004278BB"/>
    <w:rsid w:val="00431934"/>
    <w:rsid w:val="0043555B"/>
    <w:rsid w:val="00435BC7"/>
    <w:rsid w:val="00442C8E"/>
    <w:rsid w:val="004453DD"/>
    <w:rsid w:val="00450EDF"/>
    <w:rsid w:val="004635A6"/>
    <w:rsid w:val="00465A53"/>
    <w:rsid w:val="0046612C"/>
    <w:rsid w:val="004731A4"/>
    <w:rsid w:val="00475FF9"/>
    <w:rsid w:val="00481539"/>
    <w:rsid w:val="0048602C"/>
    <w:rsid w:val="004B52CA"/>
    <w:rsid w:val="004B541E"/>
    <w:rsid w:val="004D2F69"/>
    <w:rsid w:val="004D541D"/>
    <w:rsid w:val="004F494C"/>
    <w:rsid w:val="00510103"/>
    <w:rsid w:val="00517C52"/>
    <w:rsid w:val="00521BE0"/>
    <w:rsid w:val="00525B3F"/>
    <w:rsid w:val="0052760C"/>
    <w:rsid w:val="00530170"/>
    <w:rsid w:val="0053035B"/>
    <w:rsid w:val="005351E1"/>
    <w:rsid w:val="005361A0"/>
    <w:rsid w:val="00540716"/>
    <w:rsid w:val="00541C4E"/>
    <w:rsid w:val="00543447"/>
    <w:rsid w:val="0054626F"/>
    <w:rsid w:val="00547ADF"/>
    <w:rsid w:val="005633AE"/>
    <w:rsid w:val="00570D03"/>
    <w:rsid w:val="00573729"/>
    <w:rsid w:val="00576171"/>
    <w:rsid w:val="00582156"/>
    <w:rsid w:val="005937D5"/>
    <w:rsid w:val="005B3883"/>
    <w:rsid w:val="005B6C41"/>
    <w:rsid w:val="005D397C"/>
    <w:rsid w:val="005E40B1"/>
    <w:rsid w:val="005F19D1"/>
    <w:rsid w:val="00605A95"/>
    <w:rsid w:val="0061091A"/>
    <w:rsid w:val="006323BB"/>
    <w:rsid w:val="00655F33"/>
    <w:rsid w:val="006618A3"/>
    <w:rsid w:val="00661A8D"/>
    <w:rsid w:val="006804AC"/>
    <w:rsid w:val="0069189C"/>
    <w:rsid w:val="00693F40"/>
    <w:rsid w:val="006A5E78"/>
    <w:rsid w:val="006A78D1"/>
    <w:rsid w:val="006A7EB3"/>
    <w:rsid w:val="006B0F75"/>
    <w:rsid w:val="006B3368"/>
    <w:rsid w:val="006C0F53"/>
    <w:rsid w:val="006D1C5F"/>
    <w:rsid w:val="006D22F8"/>
    <w:rsid w:val="006E4D82"/>
    <w:rsid w:val="006F54A1"/>
    <w:rsid w:val="006F5903"/>
    <w:rsid w:val="006F7BEB"/>
    <w:rsid w:val="00720E1F"/>
    <w:rsid w:val="00737284"/>
    <w:rsid w:val="00744580"/>
    <w:rsid w:val="00750E50"/>
    <w:rsid w:val="00754137"/>
    <w:rsid w:val="007547E1"/>
    <w:rsid w:val="007550A0"/>
    <w:rsid w:val="007661E7"/>
    <w:rsid w:val="00782128"/>
    <w:rsid w:val="007A4760"/>
    <w:rsid w:val="007B260D"/>
    <w:rsid w:val="007C1988"/>
    <w:rsid w:val="007C73C7"/>
    <w:rsid w:val="007C7D9C"/>
    <w:rsid w:val="007D7AB5"/>
    <w:rsid w:val="007E185D"/>
    <w:rsid w:val="007E29F3"/>
    <w:rsid w:val="007F2CB3"/>
    <w:rsid w:val="007F4683"/>
    <w:rsid w:val="007F634C"/>
    <w:rsid w:val="0083393D"/>
    <w:rsid w:val="008432CD"/>
    <w:rsid w:val="0087317A"/>
    <w:rsid w:val="008759FF"/>
    <w:rsid w:val="00875AF1"/>
    <w:rsid w:val="00877DBE"/>
    <w:rsid w:val="00887FDD"/>
    <w:rsid w:val="00891BBD"/>
    <w:rsid w:val="00894BFB"/>
    <w:rsid w:val="008A3E1E"/>
    <w:rsid w:val="008A631C"/>
    <w:rsid w:val="008A6D74"/>
    <w:rsid w:val="008B5807"/>
    <w:rsid w:val="008B6E31"/>
    <w:rsid w:val="008C30FC"/>
    <w:rsid w:val="008C3AB6"/>
    <w:rsid w:val="008C4B06"/>
    <w:rsid w:val="008E5A49"/>
    <w:rsid w:val="00900E88"/>
    <w:rsid w:val="00907E61"/>
    <w:rsid w:val="00910D6F"/>
    <w:rsid w:val="00917449"/>
    <w:rsid w:val="00921F5C"/>
    <w:rsid w:val="00926EF0"/>
    <w:rsid w:val="00940A3F"/>
    <w:rsid w:val="009513A3"/>
    <w:rsid w:val="00954C05"/>
    <w:rsid w:val="0098068E"/>
    <w:rsid w:val="00990758"/>
    <w:rsid w:val="009B2F9D"/>
    <w:rsid w:val="009B4213"/>
    <w:rsid w:val="009C57A4"/>
    <w:rsid w:val="009C61D0"/>
    <w:rsid w:val="009E6CB7"/>
    <w:rsid w:val="009F092C"/>
    <w:rsid w:val="009F2657"/>
    <w:rsid w:val="009F7F50"/>
    <w:rsid w:val="00A137DB"/>
    <w:rsid w:val="00A25F39"/>
    <w:rsid w:val="00A31535"/>
    <w:rsid w:val="00A40877"/>
    <w:rsid w:val="00A410EB"/>
    <w:rsid w:val="00A4677E"/>
    <w:rsid w:val="00A47827"/>
    <w:rsid w:val="00A5049C"/>
    <w:rsid w:val="00A530CA"/>
    <w:rsid w:val="00A547CD"/>
    <w:rsid w:val="00A7084D"/>
    <w:rsid w:val="00AA7473"/>
    <w:rsid w:val="00AA7F6B"/>
    <w:rsid w:val="00AB3B1B"/>
    <w:rsid w:val="00AB7E7B"/>
    <w:rsid w:val="00AC0DF0"/>
    <w:rsid w:val="00AC4949"/>
    <w:rsid w:val="00AC6673"/>
    <w:rsid w:val="00AD2164"/>
    <w:rsid w:val="00AE194A"/>
    <w:rsid w:val="00B05DBE"/>
    <w:rsid w:val="00B06D8C"/>
    <w:rsid w:val="00B26D00"/>
    <w:rsid w:val="00B30CAE"/>
    <w:rsid w:val="00B33511"/>
    <w:rsid w:val="00B44D56"/>
    <w:rsid w:val="00B45B5E"/>
    <w:rsid w:val="00B53364"/>
    <w:rsid w:val="00B71AAE"/>
    <w:rsid w:val="00B754A7"/>
    <w:rsid w:val="00B82627"/>
    <w:rsid w:val="00B82E76"/>
    <w:rsid w:val="00B85223"/>
    <w:rsid w:val="00B93058"/>
    <w:rsid w:val="00B9383B"/>
    <w:rsid w:val="00B96358"/>
    <w:rsid w:val="00BA54F2"/>
    <w:rsid w:val="00BB1A57"/>
    <w:rsid w:val="00BB382E"/>
    <w:rsid w:val="00BC0323"/>
    <w:rsid w:val="00BD19ED"/>
    <w:rsid w:val="00BF7FDD"/>
    <w:rsid w:val="00C04192"/>
    <w:rsid w:val="00C064C0"/>
    <w:rsid w:val="00C1506B"/>
    <w:rsid w:val="00C20A75"/>
    <w:rsid w:val="00C226AF"/>
    <w:rsid w:val="00C2640A"/>
    <w:rsid w:val="00C3097D"/>
    <w:rsid w:val="00C42F41"/>
    <w:rsid w:val="00C457B2"/>
    <w:rsid w:val="00C511FA"/>
    <w:rsid w:val="00C51726"/>
    <w:rsid w:val="00C538EA"/>
    <w:rsid w:val="00C53A30"/>
    <w:rsid w:val="00C54EA7"/>
    <w:rsid w:val="00C70DB9"/>
    <w:rsid w:val="00C74CC2"/>
    <w:rsid w:val="00C75E0A"/>
    <w:rsid w:val="00C82E6F"/>
    <w:rsid w:val="00C86416"/>
    <w:rsid w:val="00CD118F"/>
    <w:rsid w:val="00CD31A8"/>
    <w:rsid w:val="00CE4368"/>
    <w:rsid w:val="00CF0B7C"/>
    <w:rsid w:val="00CF33D1"/>
    <w:rsid w:val="00D0788C"/>
    <w:rsid w:val="00D12C5E"/>
    <w:rsid w:val="00D149A4"/>
    <w:rsid w:val="00D277BB"/>
    <w:rsid w:val="00D31EE0"/>
    <w:rsid w:val="00D37093"/>
    <w:rsid w:val="00D4605A"/>
    <w:rsid w:val="00D55564"/>
    <w:rsid w:val="00D57738"/>
    <w:rsid w:val="00D621F1"/>
    <w:rsid w:val="00D70959"/>
    <w:rsid w:val="00D72221"/>
    <w:rsid w:val="00D76F61"/>
    <w:rsid w:val="00D861E0"/>
    <w:rsid w:val="00D86BD4"/>
    <w:rsid w:val="00D97592"/>
    <w:rsid w:val="00D97715"/>
    <w:rsid w:val="00DA6349"/>
    <w:rsid w:val="00DB28D5"/>
    <w:rsid w:val="00DC4A5F"/>
    <w:rsid w:val="00DC547F"/>
    <w:rsid w:val="00DD02C0"/>
    <w:rsid w:val="00DD441B"/>
    <w:rsid w:val="00DD6F15"/>
    <w:rsid w:val="00DE05BC"/>
    <w:rsid w:val="00DF6D73"/>
    <w:rsid w:val="00E06556"/>
    <w:rsid w:val="00E077EF"/>
    <w:rsid w:val="00E17746"/>
    <w:rsid w:val="00E20007"/>
    <w:rsid w:val="00E21D2C"/>
    <w:rsid w:val="00E227D7"/>
    <w:rsid w:val="00E30430"/>
    <w:rsid w:val="00E30F18"/>
    <w:rsid w:val="00E42258"/>
    <w:rsid w:val="00E80E59"/>
    <w:rsid w:val="00E92D8C"/>
    <w:rsid w:val="00ED3F77"/>
    <w:rsid w:val="00EE2404"/>
    <w:rsid w:val="00EF43FE"/>
    <w:rsid w:val="00EF4F11"/>
    <w:rsid w:val="00EF5190"/>
    <w:rsid w:val="00F22AA1"/>
    <w:rsid w:val="00F32708"/>
    <w:rsid w:val="00F33F46"/>
    <w:rsid w:val="00F4624B"/>
    <w:rsid w:val="00F56EC9"/>
    <w:rsid w:val="00F60589"/>
    <w:rsid w:val="00F60B34"/>
    <w:rsid w:val="00F70BB8"/>
    <w:rsid w:val="00F81785"/>
    <w:rsid w:val="00F91D39"/>
    <w:rsid w:val="00F94967"/>
    <w:rsid w:val="00F96A55"/>
    <w:rsid w:val="00FA32C2"/>
    <w:rsid w:val="00FA6BDD"/>
    <w:rsid w:val="00FB349C"/>
    <w:rsid w:val="00FC0227"/>
    <w:rsid w:val="00FC0DB0"/>
    <w:rsid w:val="00FC18CA"/>
    <w:rsid w:val="00FC5B09"/>
    <w:rsid w:val="00FD78B2"/>
    <w:rsid w:val="00FF4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71E3D49-59F0-4145-94AD-7D1C3B8C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62CB"/>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521BE0"/>
    <w:pPr>
      <w:numPr>
        <w:numId w:val="2"/>
      </w:numPr>
      <w:tabs>
        <w:tab w:val="clear" w:pos="360"/>
        <w:tab w:val="num" w:pos="426"/>
      </w:tabs>
      <w:spacing w:before="120" w:after="120"/>
      <w:ind w:left="425"/>
      <w:outlineLvl w:val="0"/>
    </w:pPr>
    <w:rPr>
      <w:b/>
    </w:rPr>
  </w:style>
  <w:style w:type="paragraph" w:styleId="Nadpis2">
    <w:name w:val="heading 2"/>
    <w:basedOn w:val="Normln"/>
    <w:next w:val="Normln"/>
    <w:qFormat/>
    <w:rsid w:val="002E27B0"/>
    <w:pPr>
      <w:numPr>
        <w:ilvl w:val="1"/>
        <w:numId w:val="2"/>
      </w:numPr>
      <w:spacing w:after="120"/>
      <w:outlineLvl w:val="1"/>
    </w:pPr>
  </w:style>
  <w:style w:type="paragraph" w:styleId="Nadpis3">
    <w:name w:val="heading 3"/>
    <w:basedOn w:val="Normln"/>
    <w:next w:val="Normln"/>
    <w:qFormat/>
    <w:rsid w:val="002E27B0"/>
    <w:pPr>
      <w:numPr>
        <w:ilvl w:val="2"/>
        <w:numId w:val="2"/>
      </w:numPr>
      <w:spacing w:after="60"/>
      <w:outlineLvl w:val="2"/>
    </w:pPr>
  </w:style>
  <w:style w:type="paragraph" w:styleId="Nadpis4">
    <w:name w:val="heading 4"/>
    <w:basedOn w:val="Normln"/>
    <w:next w:val="Normln"/>
    <w:qFormat/>
    <w:rsid w:val="002E27B0"/>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qFormat/>
    <w:rsid w:val="002E27B0"/>
    <w:pPr>
      <w:numPr>
        <w:ilvl w:val="4"/>
        <w:numId w:val="2"/>
      </w:numPr>
      <w:spacing w:before="240" w:after="60"/>
      <w:outlineLvl w:val="4"/>
    </w:pPr>
    <w:rPr>
      <w:b/>
      <w:bCs/>
      <w:i/>
      <w:iCs/>
      <w:sz w:val="26"/>
      <w:szCs w:val="26"/>
    </w:rPr>
  </w:style>
  <w:style w:type="paragraph" w:styleId="Nadpis6">
    <w:name w:val="heading 6"/>
    <w:basedOn w:val="Normln"/>
    <w:next w:val="Normln"/>
    <w:qFormat/>
    <w:rsid w:val="002E27B0"/>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qFormat/>
    <w:rsid w:val="002E27B0"/>
    <w:pPr>
      <w:numPr>
        <w:ilvl w:val="6"/>
        <w:numId w:val="2"/>
      </w:numPr>
      <w:spacing w:before="240" w:after="60"/>
      <w:outlineLvl w:val="6"/>
    </w:pPr>
    <w:rPr>
      <w:rFonts w:ascii="Times New Roman" w:hAnsi="Times New Roman"/>
      <w:sz w:val="24"/>
      <w:szCs w:val="24"/>
    </w:rPr>
  </w:style>
  <w:style w:type="paragraph" w:styleId="Nadpis8">
    <w:name w:val="heading 8"/>
    <w:basedOn w:val="Normln"/>
    <w:next w:val="Normln"/>
    <w:qFormat/>
    <w:rsid w:val="002E27B0"/>
    <w:pPr>
      <w:numPr>
        <w:ilvl w:val="7"/>
        <w:numId w:val="2"/>
      </w:numPr>
      <w:spacing w:before="240" w:after="60"/>
      <w:outlineLvl w:val="7"/>
    </w:pPr>
    <w:rPr>
      <w:rFonts w:ascii="Times New Roman" w:hAnsi="Times New Roman"/>
      <w:i/>
      <w:iCs/>
      <w:sz w:val="24"/>
      <w:szCs w:val="24"/>
    </w:rPr>
  </w:style>
  <w:style w:type="paragraph" w:styleId="Nadpis9">
    <w:name w:val="heading 9"/>
    <w:basedOn w:val="Normln"/>
    <w:next w:val="Normln"/>
    <w:qFormat/>
    <w:rsid w:val="002E27B0"/>
    <w:pPr>
      <w:numPr>
        <w:ilvl w:val="8"/>
        <w:numId w:val="2"/>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rsid w:val="002E27B0"/>
    <w:rPr>
      <w:sz w:val="16"/>
    </w:rPr>
  </w:style>
  <w:style w:type="paragraph" w:styleId="Zpat">
    <w:name w:val="footer"/>
    <w:basedOn w:val="Normln"/>
    <w:rsid w:val="002E27B0"/>
    <w:rPr>
      <w:sz w:val="16"/>
    </w:rPr>
  </w:style>
  <w:style w:type="paragraph" w:customStyle="1" w:styleId="kbDocumentnameextrenal">
    <w:name w:val="kb_Document_name_extrenal"/>
    <w:basedOn w:val="Normln"/>
    <w:rsid w:val="003262CB"/>
    <w:pPr>
      <w:shd w:val="pct37" w:color="auto" w:fill="auto"/>
      <w:tabs>
        <w:tab w:val="right" w:pos="6167"/>
      </w:tabs>
      <w:spacing w:before="560"/>
      <w:jc w:val="left"/>
    </w:pPr>
    <w:rPr>
      <w:b/>
      <w:color w:val="FFFFFF"/>
      <w:sz w:val="27"/>
    </w:rPr>
  </w:style>
  <w:style w:type="character" w:styleId="slostrnky">
    <w:name w:val="page number"/>
    <w:rsid w:val="003262CB"/>
    <w:rPr>
      <w:rFonts w:ascii="Arial" w:hAnsi="Arial"/>
      <w:sz w:val="16"/>
    </w:rPr>
  </w:style>
  <w:style w:type="paragraph" w:customStyle="1" w:styleId="kbFixedtext">
    <w:name w:val="kb_Fixed_text"/>
    <w:basedOn w:val="Normln"/>
    <w:rsid w:val="003262CB"/>
    <w:pPr>
      <w:spacing w:before="40"/>
      <w:jc w:val="left"/>
    </w:pPr>
    <w:rPr>
      <w:sz w:val="16"/>
    </w:rPr>
  </w:style>
  <w:style w:type="paragraph" w:customStyle="1" w:styleId="kbRegistration">
    <w:name w:val="kb_Registration"/>
    <w:basedOn w:val="Normln"/>
    <w:rsid w:val="003262CB"/>
    <w:pPr>
      <w:spacing w:before="40"/>
      <w:jc w:val="left"/>
    </w:pPr>
    <w:rPr>
      <w:caps/>
      <w:sz w:val="8"/>
    </w:rPr>
  </w:style>
  <w:style w:type="paragraph" w:customStyle="1" w:styleId="Registration">
    <w:name w:val="Registration"/>
    <w:basedOn w:val="Normln"/>
    <w:rsid w:val="003262CB"/>
    <w:pPr>
      <w:spacing w:before="40"/>
      <w:jc w:val="left"/>
    </w:pPr>
    <w:rPr>
      <w:caps/>
      <w:sz w:val="8"/>
    </w:rPr>
  </w:style>
  <w:style w:type="table" w:styleId="Mkatabulky">
    <w:name w:val="Table Grid"/>
    <w:basedOn w:val="Normlntabulka"/>
    <w:rsid w:val="0030100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poveda">
    <w:name w:val="Napoveda"/>
    <w:basedOn w:val="Normln"/>
    <w:link w:val="NapovedaChar"/>
    <w:rsid w:val="007547E1"/>
    <w:rPr>
      <w:vanish/>
      <w:color w:val="FF0000"/>
      <w:sz w:val="16"/>
      <w:szCs w:val="16"/>
    </w:rPr>
  </w:style>
  <w:style w:type="paragraph" w:styleId="Zkladntextodsazen">
    <w:name w:val="Body Text Indent"/>
    <w:basedOn w:val="Normln"/>
    <w:rsid w:val="008A3E1E"/>
    <w:pPr>
      <w:ind w:left="1134" w:hanging="283"/>
    </w:pPr>
  </w:style>
  <w:style w:type="paragraph" w:customStyle="1" w:styleId="Odrazka-ctverecek">
    <w:name w:val="Odrazka - ctverecek"/>
    <w:basedOn w:val="Normln"/>
    <w:rsid w:val="007B260D"/>
    <w:pPr>
      <w:numPr>
        <w:numId w:val="26"/>
      </w:numPr>
    </w:pPr>
  </w:style>
  <w:style w:type="paragraph" w:customStyle="1" w:styleId="CharChar1">
    <w:name w:val="Char Char1"/>
    <w:basedOn w:val="Normln"/>
    <w:rsid w:val="003F2496"/>
    <w:pPr>
      <w:widowControl w:val="0"/>
      <w:overflowPunct/>
      <w:autoSpaceDE/>
      <w:autoSpaceDN/>
      <w:spacing w:after="120" w:line="240" w:lineRule="exact"/>
    </w:pPr>
    <w:rPr>
      <w:szCs w:val="18"/>
      <w:lang w:eastAsia="en-US"/>
    </w:rPr>
  </w:style>
  <w:style w:type="paragraph" w:styleId="Textbubliny">
    <w:name w:val="Balloon Text"/>
    <w:basedOn w:val="Normln"/>
    <w:semiHidden/>
    <w:rsid w:val="00754137"/>
    <w:rPr>
      <w:rFonts w:ascii="Tahoma" w:hAnsi="Tahoma" w:cs="Tahoma"/>
      <w:sz w:val="16"/>
      <w:szCs w:val="16"/>
    </w:rPr>
  </w:style>
  <w:style w:type="paragraph" w:customStyle="1" w:styleId="StylVlevo0cmPedsazen075cmVpravo-001cm">
    <w:name w:val="Styl Vlevo:  0 cm Předsazení:  075 cm Vpravo:  -001 cm"/>
    <w:basedOn w:val="Normln"/>
    <w:rsid w:val="005B3883"/>
    <w:pPr>
      <w:ind w:left="567" w:hanging="567"/>
    </w:pPr>
  </w:style>
  <w:style w:type="character" w:customStyle="1" w:styleId="NapovedaChar">
    <w:name w:val="Napoveda Char"/>
    <w:link w:val="Napoveda"/>
    <w:rsid w:val="00AC6673"/>
    <w:rPr>
      <w:rFonts w:ascii="Arial" w:hAnsi="Arial"/>
      <w:vanish/>
      <w:color w:val="FF0000"/>
      <w:sz w:val="16"/>
      <w:szCs w:val="16"/>
      <w:lang w:val="cs-CZ" w:eastAsia="cs-CZ" w:bidi="ar-SA"/>
    </w:rPr>
  </w:style>
  <w:style w:type="character" w:styleId="Odkaznakoment">
    <w:name w:val="annotation reference"/>
    <w:semiHidden/>
    <w:rsid w:val="0098068E"/>
    <w:rPr>
      <w:sz w:val="16"/>
      <w:szCs w:val="16"/>
    </w:rPr>
  </w:style>
  <w:style w:type="paragraph" w:styleId="Textkomente">
    <w:name w:val="annotation text"/>
    <w:basedOn w:val="Normln"/>
    <w:semiHidden/>
    <w:rsid w:val="0098068E"/>
    <w:rPr>
      <w:sz w:val="20"/>
    </w:rPr>
  </w:style>
  <w:style w:type="character" w:customStyle="1" w:styleId="AnapovedaM">
    <w:name w:val="AnapovedaM"/>
    <w:rsid w:val="0069189C"/>
    <w:rPr>
      <w:rFonts w:ascii="Arial" w:hAnsi="Arial"/>
      <w:noProof w:val="0"/>
      <w:vanish/>
      <w:color w:val="FF0000"/>
      <w:spacing w:val="-5"/>
      <w:sz w:val="16"/>
      <w:vertAlign w:val="baseline"/>
      <w:lang w:val="cs-CZ"/>
    </w:rPr>
  </w:style>
  <w:style w:type="paragraph" w:styleId="Revize">
    <w:name w:val="Revision"/>
    <w:hidden/>
    <w:uiPriority w:val="99"/>
    <w:semiHidden/>
    <w:rsid w:val="00BD19E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mluvflx.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Smluvflx.dot</Template>
  <TotalTime>1</TotalTime>
  <Pages>19</Pages>
  <Words>6465</Words>
  <Characters>38144</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Smlouva o úvěru (úvěr s vloženým derivátem)</vt:lpstr>
    </vt:vector>
  </TitlesOfParts>
  <Company>Komerční banka, a.s.</Company>
  <LinksUpToDate>false</LinksUpToDate>
  <CharactersWithSpaces>44520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úvěru (úvěr s vloženým derivátem)</dc:title>
  <dc:subject/>
  <dc:creator>bstrelco</dc:creator>
  <cp:keywords/>
  <dc:description/>
  <cp:lastModifiedBy>Evelina Jochova</cp:lastModifiedBy>
  <cp:revision>2</cp:revision>
  <cp:lastPrinted>2017-07-26T08:47:00Z</cp:lastPrinted>
  <dcterms:created xsi:type="dcterms:W3CDTF">2017-07-31T13:21:00Z</dcterms:created>
  <dcterms:modified xsi:type="dcterms:W3CDTF">2017-07-31T13:21:00Z</dcterms:modified>
</cp:coreProperties>
</file>