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</w:r>
    </w:p>
    <w:p>
      <w:pPr>
        <w:pStyle w:val="Standard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RÁMCOVÁ SERVISNÍ A KUPNÍ SMLOUVA  č. 12css/24</w:t>
      </w:r>
    </w:p>
    <w:p>
      <w:pPr>
        <w:pStyle w:val="Standard"/>
        <w:rPr/>
      </w:pPr>
      <w:r>
        <w:rPr/>
      </w:r>
    </w:p>
    <w:p>
      <w:pPr>
        <w:pStyle w:val="Standard"/>
        <w:rPr>
          <w:sz w:val="24"/>
        </w:rPr>
      </w:pPr>
      <w:r>
        <w:rPr>
          <w:sz w:val="24"/>
        </w:rPr>
        <w:t>Smluvní strany: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numPr>
          <w:ilvl w:val="0"/>
          <w:numId w:val="1"/>
        </w:numPr>
        <w:rPr>
          <w:b/>
          <w:color w:val="111111"/>
          <w:sz w:val="24"/>
        </w:rPr>
      </w:pPr>
      <w:r>
        <w:rPr>
          <w:b/>
          <w:color w:val="111111"/>
          <w:sz w:val="24"/>
        </w:rPr>
        <w:t>dodavatel:</w:t>
        <w:tab/>
        <w:t>Ing. Miroslav Pálka</w:t>
      </w:r>
    </w:p>
    <w:p>
      <w:pPr>
        <w:pStyle w:val="Standard"/>
        <w:ind w:firstLine="709" w:left="1418"/>
        <w:rPr>
          <w:color w:val="111111"/>
          <w:sz w:val="24"/>
        </w:rPr>
      </w:pPr>
      <w:r>
        <w:rPr>
          <w:color w:val="111111"/>
          <w:sz w:val="24"/>
        </w:rPr>
        <w:t>se sídlem Mánesova 706, Tišnov 666 03</w:t>
      </w:r>
    </w:p>
    <w:p>
      <w:pPr>
        <w:pStyle w:val="Standard"/>
        <w:ind w:firstLine="709" w:left="1418"/>
        <w:rPr/>
      </w:pPr>
      <w:r>
        <w:rPr>
          <w:color w:val="111111"/>
          <w:sz w:val="24"/>
        </w:rPr>
        <w:t>IČO: 12192163 DIČ: CZ6102211269</w:t>
      </w:r>
    </w:p>
    <w:p>
      <w:pPr>
        <w:pStyle w:val="Standard"/>
        <w:ind w:firstLine="709" w:left="1418"/>
        <w:rPr>
          <w:color w:val="111111"/>
          <w:sz w:val="24"/>
        </w:rPr>
      </w:pPr>
      <w:r>
        <w:rPr>
          <w:color w:val="111111"/>
          <w:sz w:val="24"/>
        </w:rPr>
        <w:t xml:space="preserve">provozovna: </w:t>
      </w:r>
      <w:r>
        <w:rPr>
          <w:b/>
          <w:color w:val="111111"/>
          <w:sz w:val="24"/>
        </w:rPr>
        <w:t xml:space="preserve">Servis počítačů PC, </w:t>
      </w:r>
      <w:r>
        <w:rPr>
          <w:color w:val="111111"/>
          <w:sz w:val="24"/>
        </w:rPr>
        <w:t>Bezručova 21, Tišnov, 666 01</w:t>
      </w:r>
    </w:p>
    <w:p>
      <w:pPr>
        <w:pStyle w:val="Standard"/>
        <w:ind w:firstLine="709" w:left="1418"/>
        <w:rPr>
          <w:b/>
          <w:color w:val="111111"/>
          <w:sz w:val="24"/>
        </w:rPr>
      </w:pPr>
      <w:r>
        <w:rPr>
          <w:b/>
          <w:color w:val="111111"/>
          <w:sz w:val="24"/>
        </w:rPr>
      </w:r>
    </w:p>
    <w:p>
      <w:pPr>
        <w:pStyle w:val="Standard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odběratel:</w:t>
        <w:tab/>
      </w:r>
      <w:r>
        <w:rPr>
          <w:rStyle w:val="Strong"/>
          <w:sz w:val="24"/>
        </w:rPr>
        <w:t>Centrum sociálních služeb Tišnov, příspěvková organizace</w:t>
      </w:r>
      <w:r>
        <w:rPr>
          <w:b/>
          <w:sz w:val="24"/>
        </w:rPr>
        <w:t xml:space="preserve">  </w:t>
      </w:r>
    </w:p>
    <w:p>
      <w:pPr>
        <w:pStyle w:val="Standard"/>
        <w:ind w:firstLine="709" w:left="1418"/>
        <w:jc w:val="both"/>
        <w:rPr>
          <w:sz w:val="24"/>
        </w:rPr>
      </w:pPr>
      <w:r>
        <w:rPr>
          <w:sz w:val="24"/>
        </w:rPr>
        <w:t xml:space="preserve">Králova 1742, 666 01 Tišnov </w:t>
      </w:r>
    </w:p>
    <w:p>
      <w:pPr>
        <w:pStyle w:val="Standard"/>
        <w:ind w:firstLine="709" w:left="1418"/>
        <w:rPr>
          <w:sz w:val="24"/>
        </w:rPr>
      </w:pPr>
      <w:r>
        <w:rPr>
          <w:sz w:val="24"/>
        </w:rPr>
        <w:t>IČO:</w:t>
        <w:tab/>
        <w:t>28334949</w:t>
      </w:r>
      <w:r>
        <w:rPr>
          <w:b/>
          <w:sz w:val="24"/>
        </w:rPr>
        <w:br/>
        <w:tab/>
      </w:r>
      <w:r>
        <w:rPr>
          <w:sz w:val="24"/>
        </w:rPr>
        <w:t>zastoupená</w:t>
      </w:r>
      <w:r>
        <w:rPr>
          <w:b/>
          <w:sz w:val="24"/>
        </w:rPr>
        <w:t xml:space="preserve"> PhDr. Janou HUTAŘOVOU ,  ředitelkou</w:t>
      </w:r>
    </w:p>
    <w:p>
      <w:pPr>
        <w:pStyle w:val="Standard"/>
        <w:ind w:firstLine="709" w:left="1418"/>
        <w:rPr>
          <w:b/>
          <w:sz w:val="24"/>
        </w:rPr>
      </w:pPr>
      <w:r>
        <w:rPr>
          <w:b/>
          <w:sz w:val="24"/>
        </w:rPr>
      </w:r>
    </w:p>
    <w:p>
      <w:pPr>
        <w:pStyle w:val="Standard"/>
        <w:ind w:firstLine="709" w:left="709"/>
        <w:rPr>
          <w:b/>
          <w:sz w:val="24"/>
        </w:rPr>
      </w:pPr>
      <w:r>
        <w:rPr>
          <w:b/>
          <w:sz w:val="24"/>
        </w:rPr>
        <w:t>uzavírají tuto rámcovou servisní a kupní smlouvu :</w:t>
      </w:r>
    </w:p>
    <w:p>
      <w:pPr>
        <w:pStyle w:val="Standard"/>
        <w:ind w:firstLine="709" w:left="709"/>
        <w:rPr>
          <w:b/>
          <w:sz w:val="24"/>
        </w:rPr>
      </w:pPr>
      <w:r>
        <w:rPr>
          <w:b/>
          <w:sz w:val="24"/>
        </w:rPr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I.   Předmět smlouvy</w:t>
      </w:r>
    </w:p>
    <w:p>
      <w:pPr>
        <w:pStyle w:val="Standard"/>
        <w:spacing w:before="0" w:after="100"/>
        <w:jc w:val="both"/>
        <w:rPr/>
      </w:pPr>
      <w:r>
        <w:rPr/>
      </w:r>
    </w:p>
    <w:p>
      <w:pPr>
        <w:pStyle w:val="Standard"/>
        <w:spacing w:before="0" w:after="100"/>
        <w:rPr>
          <w:color w:val="auto"/>
          <w:sz w:val="24"/>
        </w:rPr>
      </w:pPr>
      <w:r>
        <w:rPr>
          <w:color w:val="auto"/>
          <w:sz w:val="24"/>
        </w:rPr>
        <w:t>Touto smlouvou smluvní strany rámcově sjednávají podmínky dodávek služeb a zboží, které budou blíže určeny (druh, množství, termín dodávek) v samostatných objednávkách kupujícího, a to na dobu od 1.1.2025 do 31.12.2025.</w:t>
      </w:r>
    </w:p>
    <w:p>
      <w:pPr>
        <w:pStyle w:val="Standard"/>
        <w:spacing w:before="0" w:after="100"/>
        <w:rPr>
          <w:color w:val="auto"/>
          <w:sz w:val="24"/>
        </w:rPr>
      </w:pPr>
      <w:r>
        <w:rPr>
          <w:color w:val="auto"/>
          <w:sz w:val="24"/>
        </w:rPr>
      </w:r>
    </w:p>
    <w:p>
      <w:pPr>
        <w:pStyle w:val="Standard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II.   Cena a platební podmínky</w:t>
      </w:r>
    </w:p>
    <w:p>
      <w:pPr>
        <w:pStyle w:val="Standard"/>
        <w:spacing w:before="0" w:after="10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numPr>
          <w:ilvl w:val="0"/>
          <w:numId w:val="14"/>
        </w:numPr>
        <w:spacing w:before="0" w:after="100"/>
        <w:rPr>
          <w:color w:val="auto"/>
        </w:rPr>
      </w:pPr>
      <w:r>
        <w:rPr>
          <w:color w:val="auto"/>
          <w:sz w:val="24"/>
        </w:rPr>
        <w:t xml:space="preserve">Součástí této smlouvy je ceník prací platný od </w:t>
      </w:r>
      <w:r>
        <w:rPr>
          <w:b/>
          <w:color w:val="auto"/>
          <w:sz w:val="24"/>
        </w:rPr>
        <w:t>1.1.2025</w:t>
      </w:r>
      <w:r>
        <w:rPr>
          <w:color w:val="auto"/>
          <w:sz w:val="24"/>
        </w:rPr>
        <w:t>.</w:t>
        <w:br/>
        <w:t xml:space="preserve">           Případné změny jsou dodavatelem vždy hlášeny minimálně s měsíčním předstihem</w:t>
      </w:r>
    </w:p>
    <w:p>
      <w:pPr>
        <w:pStyle w:val="Standard"/>
        <w:numPr>
          <w:ilvl w:val="0"/>
          <w:numId w:val="15"/>
        </w:numPr>
        <w:spacing w:before="0" w:after="100"/>
        <w:rPr>
          <w:color w:val="111111"/>
          <w:sz w:val="24"/>
          <w:szCs w:val="24"/>
        </w:rPr>
      </w:pPr>
      <w:r>
        <w:rPr>
          <w:b/>
          <w:bCs/>
          <w:color w:val="111111"/>
          <w:sz w:val="24"/>
          <w:szCs w:val="24"/>
        </w:rPr>
        <w:t>V ceně prací je zahrnuta DPH 21%.</w:t>
      </w:r>
      <w:r>
        <w:rPr>
          <w:color w:val="111111"/>
          <w:sz w:val="24"/>
          <w:szCs w:val="24"/>
        </w:rPr>
        <w:br/>
        <w:tab/>
        <w:t>V případě změny DPH  bude cena příslušně</w:t>
        <w:tab/>
        <w:t>upravena.</w:t>
      </w:r>
    </w:p>
    <w:p>
      <w:pPr>
        <w:pStyle w:val="Standard"/>
        <w:numPr>
          <w:ilvl w:val="0"/>
          <w:numId w:val="16"/>
        </w:numPr>
        <w:spacing w:before="0" w:after="100"/>
        <w:rPr>
          <w:color w:val="111111"/>
          <w:sz w:val="24"/>
          <w:szCs w:val="24"/>
        </w:rPr>
      </w:pPr>
      <w:r>
        <w:rPr>
          <w:color w:val="auto"/>
          <w:sz w:val="24"/>
          <w:szCs w:val="24"/>
        </w:rPr>
        <w:t>Případné změny jsou dodavatelem vždy hlášeny</w:t>
      </w:r>
      <w:r>
        <w:rPr>
          <w:b/>
          <w:bCs/>
          <w:color w:val="auto"/>
          <w:sz w:val="24"/>
          <w:szCs w:val="24"/>
        </w:rPr>
        <w:t xml:space="preserve"> minimálně s měsíčním předstihem.</w:t>
      </w:r>
    </w:p>
    <w:p>
      <w:pPr>
        <w:pStyle w:val="Standard"/>
        <w:numPr>
          <w:ilvl w:val="0"/>
          <w:numId w:val="17"/>
        </w:numPr>
        <w:spacing w:before="0" w:after="100"/>
        <w:jc w:val="both"/>
        <w:rPr>
          <w:color w:val="111111"/>
          <w:sz w:val="24"/>
          <w:szCs w:val="24"/>
        </w:rPr>
      </w:pPr>
      <w:r>
        <w:rPr>
          <w:sz w:val="24"/>
        </w:rPr>
        <w:t xml:space="preserve">Dodavatel je povinen vystavit fakturu za dodané zboží a práce do 14 dnů od jeho </w:t>
        <w:tab/>
        <w:t xml:space="preserve">dodání. </w:t>
      </w:r>
    </w:p>
    <w:p>
      <w:pPr>
        <w:pStyle w:val="Standard"/>
        <w:numPr>
          <w:ilvl w:val="0"/>
          <w:numId w:val="18"/>
        </w:numPr>
        <w:spacing w:before="0" w:after="100"/>
        <w:jc w:val="left"/>
        <w:rPr>
          <w:color w:val="111111"/>
          <w:sz w:val="24"/>
          <w:szCs w:val="24"/>
        </w:rPr>
      </w:pPr>
      <w:r>
        <w:rPr>
          <w:sz w:val="24"/>
        </w:rPr>
        <w:t xml:space="preserve">Odběratel se zavazuje úhradu za dodané zboží a práce je převést na účet dodavatele do </w:t>
        <w:tab/>
      </w:r>
      <w:r>
        <w:rPr>
          <w:b/>
          <w:sz w:val="24"/>
        </w:rPr>
        <w:t>14 dnů</w:t>
      </w:r>
      <w:r>
        <w:rPr>
          <w:sz w:val="24"/>
        </w:rPr>
        <w:t xml:space="preserve"> od obdržení faktury vystavené dodavatelem.</w:t>
        <w:br/>
      </w:r>
    </w:p>
    <w:p>
      <w:pPr>
        <w:pStyle w:val="Standard"/>
        <w:numPr>
          <w:ilvl w:val="0"/>
          <w:numId w:val="0"/>
        </w:numPr>
        <w:spacing w:before="0" w:after="100"/>
        <w:ind w:hanging="0" w:left="0"/>
        <w:jc w:val="center"/>
        <w:rPr>
          <w:color w:val="111111"/>
          <w:sz w:val="24"/>
          <w:szCs w:val="24"/>
        </w:rPr>
      </w:pPr>
      <w:r>
        <w:rPr>
          <w:b/>
          <w:sz w:val="24"/>
        </w:rPr>
        <w:t>III.   Místo plnění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before="0" w:after="100"/>
        <w:jc w:val="left"/>
        <w:rPr>
          <w:b/>
          <w:sz w:val="24"/>
        </w:rPr>
      </w:pPr>
      <w:r>
        <w:rPr>
          <w:sz w:val="24"/>
        </w:rPr>
        <w:t xml:space="preserve">Místem plnění je sídlo odbětatele: </w:t>
      </w:r>
      <w:r>
        <w:rPr>
          <w:rStyle w:val="Strong"/>
          <w:sz w:val="24"/>
        </w:rPr>
        <w:t>Centrum sociálních služeb Tišnov,příspěvková organizace</w:t>
      </w:r>
      <w:r>
        <w:rPr>
          <w:b/>
          <w:sz w:val="24"/>
        </w:rPr>
        <w:t xml:space="preserve"> ,</w:t>
      </w:r>
      <w:r>
        <w:rPr>
          <w:b/>
          <w:bCs/>
          <w:sz w:val="24"/>
        </w:rPr>
        <w:t xml:space="preserve">Králova 1742, 666 01 Tišnov </w:t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IV.   Povinná pravidelná preventivní péče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numPr>
          <w:ilvl w:val="0"/>
          <w:numId w:val="3"/>
        </w:numPr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Dodavatel v rámci trvalé komplexní udržitelné péče o odběratelova ITC zařízení provede roční profylaktické prohlídky 1x ročně u všech zařízení - PC, NTB, UPS, tiskárny. Zjištěný stav bude předložen dodavateli a řešen samostatně.  </w:t>
      </w:r>
    </w:p>
    <w:p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U zařízení důležitých pro chod celé sítě odběratele: server, společně vytypovaná uživatelská PC a NTB bude zvýšený dozor realizován </w:t>
      </w:r>
      <w:r>
        <w:rPr>
          <w:b/>
          <w:bCs/>
          <w:color w:val="111111"/>
          <w:sz w:val="24"/>
          <w:szCs w:val="24"/>
        </w:rPr>
        <w:t xml:space="preserve">monitorováním a následnými opatřeními bezprostředně </w:t>
      </w:r>
      <w:r>
        <w:rPr>
          <w:color w:val="111111"/>
          <w:sz w:val="24"/>
          <w:szCs w:val="24"/>
        </w:rPr>
        <w:t>(do 4 hodin od zjištění).</w:t>
      </w:r>
    </w:p>
    <w:p>
      <w:pPr>
        <w:pStyle w:val="Standard"/>
        <w:ind w:hanging="0" w:left="1140"/>
        <w:rPr>
          <w:color w:val="0000FF"/>
          <w:sz w:val="24"/>
        </w:rPr>
      </w:pPr>
      <w:r>
        <w:rPr>
          <w:color w:val="0000FF"/>
          <w:sz w:val="24"/>
        </w:rPr>
      </w:r>
    </w:p>
    <w:p>
      <w:pPr>
        <w:pStyle w:val="Standard"/>
        <w:ind w:hanging="0" w:left="1140"/>
        <w:rPr>
          <w:color w:val="0000FF"/>
          <w:sz w:val="24"/>
        </w:rPr>
      </w:pPr>
      <w:r>
        <w:rPr>
          <w:color w:val="0000FF"/>
          <w:sz w:val="24"/>
        </w:rPr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V.   Záruka</w:t>
      </w:r>
    </w:p>
    <w:p>
      <w:pPr>
        <w:pStyle w:val="Standard"/>
        <w:jc w:val="both"/>
        <w:rPr/>
      </w:pPr>
      <w:r>
        <w:rPr/>
      </w:r>
    </w:p>
    <w:p>
      <w:pPr>
        <w:pStyle w:val="Standard"/>
        <w:numPr>
          <w:ilvl w:val="1"/>
          <w:numId w:val="19"/>
        </w:numPr>
        <w:spacing w:before="0" w:after="100"/>
        <w:jc w:val="both"/>
        <w:rPr>
          <w:sz w:val="24"/>
        </w:rPr>
      </w:pPr>
      <w:r>
        <w:rPr>
          <w:sz w:val="24"/>
        </w:rPr>
        <w:t>Dodavatel dodá zboží se zárukou  jeho jakost dle označení na jednotlivých výrobcích.</w:t>
      </w:r>
    </w:p>
    <w:p>
      <w:pPr>
        <w:pStyle w:val="Standard"/>
        <w:numPr>
          <w:ilvl w:val="1"/>
          <w:numId w:val="20"/>
        </w:numPr>
        <w:spacing w:before="0" w:after="100"/>
        <w:jc w:val="both"/>
        <w:rPr>
          <w:sz w:val="24"/>
        </w:rPr>
      </w:pPr>
      <w:r>
        <w:rPr>
          <w:sz w:val="24"/>
        </w:rPr>
        <w:t>Dodavatel upozorní odběratele, pokud záruka na dodávané zboží bude menší než 24 měsíců.</w:t>
      </w:r>
    </w:p>
    <w:p>
      <w:pPr>
        <w:pStyle w:val="Standard"/>
        <w:spacing w:before="0" w:after="100"/>
        <w:jc w:val="both"/>
        <w:rPr>
          <w:color w:val="111111"/>
          <w:sz w:val="24"/>
        </w:rPr>
      </w:pPr>
      <w:r>
        <w:rPr>
          <w:color w:val="111111"/>
          <w:sz w:val="24"/>
        </w:rPr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VI.   Podmínky plnění předmětu smlouvy</w:t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numPr>
          <w:ilvl w:val="2"/>
          <w:numId w:val="21"/>
        </w:numPr>
        <w:spacing w:before="0" w:after="100"/>
        <w:jc w:val="both"/>
        <w:rPr/>
      </w:pPr>
      <w:r>
        <w:rPr>
          <w:rFonts w:eastAsia="Times New Roman" w:cs="Times New Roman" w:ascii="Times New Roman" w:hAnsi="Times New Roman"/>
          <w:color w:val="00000A"/>
          <w:szCs w:val="20"/>
          <w:lang w:eastAsia="ar-SA" w:bidi="ar-SA"/>
        </w:rPr>
        <w:t>Dodavatel splní každý svůj jednotlivý závazek (objednávku) předáním zboží a prací odběrateli spolu s řádným dodacím listem po předchozím avízu příjezdu dodavatele.</w:t>
      </w:r>
      <w:r>
        <w:rPr>
          <w:rFonts w:eastAsia="Times New Roman" w:cs="Times New Roman" w:ascii="Times New Roman" w:hAnsi="Times New Roman"/>
          <w:b/>
          <w:bCs/>
          <w:color w:val="C9211E"/>
          <w:szCs w:val="20"/>
          <w:lang w:eastAsia="ar-SA" w:bidi="ar-SA"/>
        </w:rPr>
        <w:br/>
      </w:r>
      <w:r>
        <w:rPr>
          <w:rFonts w:eastAsia="Times New Roman" w:cs="Times New Roman"/>
          <w:color w:val="00000A"/>
          <w:szCs w:val="20"/>
          <w:lang w:eastAsia="ar-SA" w:bidi="ar-SA"/>
        </w:rPr>
        <w:t>2.     Nebezpečí škody na zboží přechází na odběratele okamžikem převzetí zboží včetně jeho instalace.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VII.   Závěrečná ustanovení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V otázkách, které nejsou touto smlouvou výslovně upraveny, se řídí právní vztahy smluvních stran ustanoveními občanského zákoníku a dalšími obecně závaznými právními předpisy České republiky v platném znění.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V případě sporu smluvní strany především jednají o vzájemné shodě.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Veškeré změny a doplňky k této smlouvě jsou možné po vzájemné dohodě obou smluvních stran, a to výhradně formou písemnou.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Tato smlouva je závazná i pro právní nástupce obou smluvních stran.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Výpovědní doba této smlouvy jsou 3 měsíce, počínaje následujícím měsícem po jejím doručení protistraně.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>
      <w:pPr>
        <w:pStyle w:val="Standard"/>
        <w:widowControl w:val="false"/>
        <w:numPr>
          <w:ilvl w:val="0"/>
          <w:numId w:val="4"/>
        </w:numPr>
        <w:tabs>
          <w:tab w:val="clear" w:pos="709"/>
          <w:tab w:val="left" w:pos="4536" w:leader="none"/>
          <w:tab w:val="left" w:pos="4819" w:leader="none"/>
        </w:tabs>
        <w:suppressAutoHyphens w:val="true"/>
        <w:bidi w:val="0"/>
        <w:spacing w:before="0" w:after="100"/>
        <w:ind w:hanging="340" w:left="57" w:right="0"/>
        <w:jc w:val="both"/>
        <w:textAlignment w:val="baseline"/>
        <w:rPr>
          <w:sz w:val="24"/>
        </w:rPr>
      </w:pPr>
      <w:r>
        <w:rPr>
          <w:sz w:val="24"/>
          <w:szCs w:val="24"/>
        </w:rPr>
        <w:t>Smluvní strany souhlasí se zveřejněním smlouvy v registru smluv dle zákona č. 340/2015Sb., o registru smluv, ve znění pozdějších předpisů. Strany nepovažují žádnou část této smlouvy za součást svého obchodního tajemství. Smluvní strany se dohodly, že zveřejnění této smlouvy provede odběratel.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jc w:val="both"/>
        <w:rPr>
          <w:color w:val="auto"/>
        </w:rPr>
      </w:pPr>
      <w:r>
        <w:rPr>
          <w:sz w:val="24"/>
        </w:rPr>
        <w:t>V Tišnově</w:t>
      </w:r>
      <w:r>
        <w:rPr>
          <w:color w:val="auto"/>
          <w:sz w:val="24"/>
        </w:rPr>
        <w:t xml:space="preserve">, dne </w:t>
      </w:r>
      <w:r>
        <w:rPr>
          <w:b/>
          <w:bCs/>
          <w:color w:val="auto"/>
          <w:sz w:val="24"/>
        </w:rPr>
        <w:t>12.12.2024</w:t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  <w:tab/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  <w:tab/>
        <w:t>……………………….</w:t>
        <w:tab/>
        <w:t>………………………….</w:t>
      </w:r>
    </w:p>
    <w:p>
      <w:pPr>
        <w:pStyle w:val="Standard"/>
        <w:tabs>
          <w:tab w:val="clear" w:pos="709"/>
          <w:tab w:val="center" w:pos="2268" w:leader="none"/>
          <w:tab w:val="center" w:pos="6804" w:leader="none"/>
        </w:tabs>
        <w:rPr>
          <w:sz w:val="24"/>
        </w:rPr>
      </w:pPr>
      <w:r>
        <w:rPr>
          <w:sz w:val="24"/>
        </w:rPr>
        <w:tab/>
        <w:t>dodavatel</w:t>
        <w:tab/>
        <w:t>odběratel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709" w:footer="709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3"/>
  </w:num>
  <w:num w:numId="21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Standard"/>
    <w:qFormat/>
    <w:pPr>
      <w:keepNext w:val="true"/>
      <w:outlineLvl w:val="0"/>
    </w:pPr>
    <w:rPr>
      <w:sz w:val="24"/>
    </w:rPr>
  </w:style>
  <w:style w:type="paragraph" w:styleId="Heading2">
    <w:name w:val="heading 2"/>
    <w:basedOn w:val="Nadpis"/>
    <w:qFormat/>
    <w:pPr>
      <w:outlineLvl w:val="1"/>
    </w:pPr>
    <w:rPr/>
  </w:style>
  <w:style w:type="paragraph" w:styleId="Heading3">
    <w:name w:val="heading 3"/>
    <w:basedOn w:val="Nadpis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Standardnpsmoodstavce1" w:customStyle="1">
    <w:name w:val="Standardní písmo odstavce1"/>
    <w:qFormat/>
    <w:rPr/>
  </w:style>
  <w:style w:type="character" w:styleId="PageNumber">
    <w:name w:val="page number"/>
    <w:basedOn w:val="Standardnpsmoodstavce1"/>
    <w:qFormat/>
    <w:rPr/>
  </w:style>
  <w:style w:type="character" w:styleId="Symbolyproslovn" w:customStyle="1">
    <w:name w:val="Symboly pro číslování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Hypertextovodkaz1" w:customStyle="1">
    <w:name w:val="Hypertextový odkaz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TextkomenteChar" w:customStyle="1">
    <w:name w:val="Text komentáře Char"/>
    <w:basedOn w:val="DefaultParagraphFont"/>
    <w:uiPriority w:val="99"/>
    <w:semiHidden/>
    <w:qFormat/>
    <w:rPr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>
      <w:rFonts w:cs="Mangal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cs-CZ" w:eastAsia="ar-SA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Zhlavazpat" w:customStyle="1">
    <w:name w:val="Záhlaví a zápatí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bsahrmce" w:customStyle="1">
    <w:name w:val="Obsah rámce"/>
    <w:basedOn w:val="Textbody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mmentText">
    <w:name w:val="annotation text"/>
    <w:basedOn w:val="Normal"/>
    <w:link w:val="TextkomenteChar"/>
    <w:uiPriority w:val="99"/>
    <w:semiHidden/>
    <w:unhideWhenUsed/>
    <w:qFormat/>
    <w:pPr/>
    <w:rPr>
      <w:sz w:val="20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LibreOffice/24.8.3.2$Windows_X86_64 LibreOffice_project/48a6bac9e7e268aeb4c3483fcf825c94556d9f92</Application>
  <AppVersion>15.0000</AppVersion>
  <Pages>2</Pages>
  <Words>529</Words>
  <Characters>3049</Characters>
  <CharactersWithSpaces>3566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2023-02-21T05:55:00Z</dcterms:created>
  <dc:creator>rodina Veselých</dc:creator>
  <dc:description/>
  <dc:language>cs-CZ</dc:language>
  <cp:lastModifiedBy/>
  <cp:lastPrinted>2024-12-10T14:33:38Z</cp:lastPrinted>
  <dcterms:modified xsi:type="dcterms:W3CDTF">2024-12-11T09:29:32Z</dcterms:modified>
  <cp:revision>11</cp:revision>
  <dc:subject/>
  <dc:title>KUPNÍ SMLOUVA RÁMCOVÁ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