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50DA3133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C15D21">
        <w:rPr>
          <w:rFonts w:ascii="Times New Roman" w:hAnsi="Times New Roman" w:cs="Times New Roman"/>
          <w:sz w:val="23"/>
          <w:szCs w:val="23"/>
        </w:rPr>
        <w:tab/>
      </w:r>
      <w:r w:rsidR="00C15D21" w:rsidRPr="00C15D21">
        <w:rPr>
          <w:rFonts w:ascii="Times New Roman" w:hAnsi="Times New Roman" w:cs="Times New Roman"/>
          <w:b/>
          <w:bCs/>
          <w:sz w:val="23"/>
          <w:szCs w:val="23"/>
        </w:rPr>
        <w:t>Nemocnice AGEL Valašské Meziříčí a.s.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3ABA4BA0" w14:textId="12393EBE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15D21">
        <w:rPr>
          <w:rFonts w:ascii="Times New Roman" w:hAnsi="Times New Roman" w:cs="Times New Roman"/>
          <w:sz w:val="23"/>
          <w:szCs w:val="23"/>
        </w:rPr>
        <w:t>26822105</w:t>
      </w:r>
    </w:p>
    <w:p w14:paraId="17F40E8C" w14:textId="1C35FC36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15D21">
        <w:rPr>
          <w:rFonts w:ascii="Times New Roman" w:hAnsi="Times New Roman" w:cs="Times New Roman"/>
          <w:sz w:val="23"/>
          <w:szCs w:val="23"/>
        </w:rPr>
        <w:t>CZ699000899</w:t>
      </w:r>
    </w:p>
    <w:p w14:paraId="08DEC709" w14:textId="7930EC98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15D21">
        <w:rPr>
          <w:rFonts w:ascii="Times New Roman" w:hAnsi="Times New Roman" w:cs="Times New Roman"/>
          <w:sz w:val="23"/>
          <w:szCs w:val="23"/>
        </w:rPr>
        <w:t>U Nemocnice 980, 757 01 Valašské Meziříčí</w:t>
      </w:r>
    </w:p>
    <w:p w14:paraId="1FCEE884" w14:textId="502A105E" w:rsidR="00C15D21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15D21">
        <w:rPr>
          <w:rFonts w:ascii="Times New Roman" w:hAnsi="Times New Roman" w:cs="Times New Roman"/>
          <w:sz w:val="23"/>
          <w:szCs w:val="23"/>
        </w:rPr>
        <w:t>MUDr. Martin Hrabovský, MBA, předseda představenstva</w:t>
      </w:r>
    </w:p>
    <w:p w14:paraId="7DD7D29A" w14:textId="5CCBEC8D" w:rsidR="005F3C90" w:rsidRPr="00AE5DFC" w:rsidRDefault="00C15D21" w:rsidP="00C15D21">
      <w:pPr>
        <w:spacing w:after="0" w:line="36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Ing. Miroslav Pecháček, místopředseda představenstva</w:t>
      </w:r>
    </w:p>
    <w:p w14:paraId="6FC11675" w14:textId="1ADAE583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15D21">
        <w:rPr>
          <w:rFonts w:ascii="Times New Roman" w:hAnsi="Times New Roman" w:cs="Times New Roman"/>
          <w:sz w:val="23"/>
          <w:szCs w:val="23"/>
        </w:rPr>
        <w:t>3infc9a</w:t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reg.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Projekt je zaměřen na zlepšení 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webcast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webcastů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>, vzdělávacích akcí a worshopů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ust.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28C22055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 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06EE9A" w14:textId="2A4AD2A8" w:rsidR="006243DD" w:rsidRPr="00A936D7" w:rsidRDefault="006243DD" w:rsidP="00A936D7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 Zapojený subjekt</w:t>
      </w:r>
      <w:r w:rsidR="00C15D21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6FC692E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576BE32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263947">
        <w:rPr>
          <w:rFonts w:ascii="Times New Roman" w:hAnsi="Times New Roman" w:cs="Times New Roman"/>
          <w:sz w:val="23"/>
          <w:szCs w:val="23"/>
        </w:rPr>
        <w:t xml:space="preserve">e Valašském Meziříčí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183DE496" w14:textId="6807AA4F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 </w:t>
      </w:r>
      <w:r w:rsidR="00263947">
        <w:rPr>
          <w:rFonts w:ascii="Times New Roman" w:hAnsi="Times New Roman" w:cs="Times New Roman"/>
          <w:sz w:val="23"/>
          <w:szCs w:val="23"/>
        </w:rPr>
        <w:t xml:space="preserve"> Nemocnice AGEL Valašské Meziříčí a.s.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E5F09D" w14:textId="341A4C47" w:rsidR="008003FF" w:rsidRPr="00AE5DFC" w:rsidRDefault="006243DD" w:rsidP="00263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263947">
        <w:rPr>
          <w:rFonts w:ascii="Times New Roman" w:hAnsi="Times New Roman" w:cs="Times New Roman"/>
          <w:sz w:val="23"/>
          <w:szCs w:val="23"/>
        </w:rPr>
        <w:t>MUDr. Martin Hrabovský, MBA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0684CDE8" w14:textId="2C481412" w:rsidR="006243DD" w:rsidRPr="00AE5DFC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263947">
        <w:rPr>
          <w:rFonts w:ascii="Times New Roman" w:hAnsi="Times New Roman" w:cs="Times New Roman"/>
          <w:sz w:val="23"/>
          <w:szCs w:val="23"/>
        </w:rPr>
        <w:t xml:space="preserve">                   předseda představenstva</w:t>
      </w:r>
    </w:p>
    <w:p w14:paraId="6DE2704A" w14:textId="64A0AAA1" w:rsidR="00E83B9E" w:rsidRDefault="00263947" w:rsidP="007F5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6B6287A4" w14:textId="1FEEA336" w:rsidR="00263947" w:rsidRDefault="00263947" w:rsidP="002639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Ing. Miroslav Pecháček</w:t>
      </w:r>
    </w:p>
    <w:p w14:paraId="675AEE88" w14:textId="1CAF3764" w:rsidR="00263947" w:rsidRDefault="00263947" w:rsidP="007F5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Místopředseda představenstva</w:t>
      </w:r>
    </w:p>
    <w:p w14:paraId="502F03FD" w14:textId="77777777" w:rsidR="00263947" w:rsidRPr="00AE5DFC" w:rsidRDefault="00263947" w:rsidP="007F5172">
      <w:pPr>
        <w:rPr>
          <w:rFonts w:ascii="Times New Roman" w:hAnsi="Times New Roman" w:cs="Times New Roman"/>
        </w:rPr>
      </w:pPr>
    </w:p>
    <w:p w14:paraId="31E2D71E" w14:textId="77777777" w:rsidR="0016051F" w:rsidRPr="00AE5DFC" w:rsidRDefault="0016051F">
      <w:pPr>
        <w:rPr>
          <w:rFonts w:ascii="Times New Roman" w:hAnsi="Times New Roman" w:cs="Times New Roman"/>
        </w:rPr>
      </w:pPr>
    </w:p>
    <w:sectPr w:rsidR="0016051F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75E1" w14:textId="77777777" w:rsidR="004455D1" w:rsidRDefault="004455D1">
      <w:pPr>
        <w:spacing w:after="0" w:line="240" w:lineRule="auto"/>
      </w:pPr>
      <w:r>
        <w:separator/>
      </w:r>
    </w:p>
  </w:endnote>
  <w:endnote w:type="continuationSeparator" w:id="0">
    <w:p w14:paraId="2F15DE55" w14:textId="77777777" w:rsidR="004455D1" w:rsidRDefault="0044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6794" w14:textId="77777777" w:rsidR="004455D1" w:rsidRDefault="004455D1">
      <w:pPr>
        <w:spacing w:after="0" w:line="240" w:lineRule="auto"/>
      </w:pPr>
      <w:r>
        <w:separator/>
      </w:r>
    </w:p>
  </w:footnote>
  <w:footnote w:type="continuationSeparator" w:id="0">
    <w:p w14:paraId="7D5AD04A" w14:textId="77777777" w:rsidR="004455D1" w:rsidRDefault="0044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7513"/>
    <w:rsid w:val="00026AE5"/>
    <w:rsid w:val="000B38F4"/>
    <w:rsid w:val="000B4693"/>
    <w:rsid w:val="000D5EAF"/>
    <w:rsid w:val="000F55F3"/>
    <w:rsid w:val="0010359E"/>
    <w:rsid w:val="00122F45"/>
    <w:rsid w:val="0012541E"/>
    <w:rsid w:val="0015384B"/>
    <w:rsid w:val="0016051F"/>
    <w:rsid w:val="0018379C"/>
    <w:rsid w:val="001A3E62"/>
    <w:rsid w:val="001B5E52"/>
    <w:rsid w:val="001C1C97"/>
    <w:rsid w:val="001C3C85"/>
    <w:rsid w:val="001C69C2"/>
    <w:rsid w:val="001D5673"/>
    <w:rsid w:val="00210077"/>
    <w:rsid w:val="00226756"/>
    <w:rsid w:val="00234E67"/>
    <w:rsid w:val="00263947"/>
    <w:rsid w:val="00263A9B"/>
    <w:rsid w:val="0027465F"/>
    <w:rsid w:val="00284D56"/>
    <w:rsid w:val="00286136"/>
    <w:rsid w:val="002939C0"/>
    <w:rsid w:val="002B642D"/>
    <w:rsid w:val="002C74AF"/>
    <w:rsid w:val="00334EF9"/>
    <w:rsid w:val="003B2F05"/>
    <w:rsid w:val="003D4A52"/>
    <w:rsid w:val="003E385F"/>
    <w:rsid w:val="003E539F"/>
    <w:rsid w:val="00417E92"/>
    <w:rsid w:val="00436FEE"/>
    <w:rsid w:val="0044181F"/>
    <w:rsid w:val="004455D1"/>
    <w:rsid w:val="004831D3"/>
    <w:rsid w:val="00496C99"/>
    <w:rsid w:val="004E2DD4"/>
    <w:rsid w:val="0051425B"/>
    <w:rsid w:val="00540468"/>
    <w:rsid w:val="0054249F"/>
    <w:rsid w:val="0054366D"/>
    <w:rsid w:val="00550553"/>
    <w:rsid w:val="0057227E"/>
    <w:rsid w:val="005726C8"/>
    <w:rsid w:val="005D5855"/>
    <w:rsid w:val="005E2040"/>
    <w:rsid w:val="005F3C90"/>
    <w:rsid w:val="005F3FCF"/>
    <w:rsid w:val="006243DD"/>
    <w:rsid w:val="00660756"/>
    <w:rsid w:val="00680576"/>
    <w:rsid w:val="00691158"/>
    <w:rsid w:val="00691D7D"/>
    <w:rsid w:val="00697DFD"/>
    <w:rsid w:val="006A1A19"/>
    <w:rsid w:val="006A6BB4"/>
    <w:rsid w:val="006A6F68"/>
    <w:rsid w:val="00703086"/>
    <w:rsid w:val="00716E2E"/>
    <w:rsid w:val="00731BE0"/>
    <w:rsid w:val="00750E2D"/>
    <w:rsid w:val="00786208"/>
    <w:rsid w:val="007B2BD6"/>
    <w:rsid w:val="007E0DB9"/>
    <w:rsid w:val="007E798A"/>
    <w:rsid w:val="007F1AEA"/>
    <w:rsid w:val="007F3912"/>
    <w:rsid w:val="007F5172"/>
    <w:rsid w:val="008003FF"/>
    <w:rsid w:val="00843CFA"/>
    <w:rsid w:val="008B0739"/>
    <w:rsid w:val="008B3348"/>
    <w:rsid w:val="008C182C"/>
    <w:rsid w:val="008D3207"/>
    <w:rsid w:val="009152A7"/>
    <w:rsid w:val="00933A9D"/>
    <w:rsid w:val="009936D7"/>
    <w:rsid w:val="009A5B43"/>
    <w:rsid w:val="00A71944"/>
    <w:rsid w:val="00A930F2"/>
    <w:rsid w:val="00A936D7"/>
    <w:rsid w:val="00AC0C1E"/>
    <w:rsid w:val="00AC7C73"/>
    <w:rsid w:val="00AE5DFC"/>
    <w:rsid w:val="00B319C4"/>
    <w:rsid w:val="00B83A22"/>
    <w:rsid w:val="00BE7977"/>
    <w:rsid w:val="00C03B2D"/>
    <w:rsid w:val="00C15D21"/>
    <w:rsid w:val="00C218F8"/>
    <w:rsid w:val="00C23CBC"/>
    <w:rsid w:val="00C373B8"/>
    <w:rsid w:val="00C43E53"/>
    <w:rsid w:val="00C57170"/>
    <w:rsid w:val="00C6712A"/>
    <w:rsid w:val="00C957AE"/>
    <w:rsid w:val="00CA222F"/>
    <w:rsid w:val="00CB0CCE"/>
    <w:rsid w:val="00CB7D8C"/>
    <w:rsid w:val="00CC6C47"/>
    <w:rsid w:val="00CE32D5"/>
    <w:rsid w:val="00CF192E"/>
    <w:rsid w:val="00D411AE"/>
    <w:rsid w:val="00D41418"/>
    <w:rsid w:val="00D71FD4"/>
    <w:rsid w:val="00DA7E14"/>
    <w:rsid w:val="00DD65B1"/>
    <w:rsid w:val="00DD7AB7"/>
    <w:rsid w:val="00DF622A"/>
    <w:rsid w:val="00E13136"/>
    <w:rsid w:val="00E23003"/>
    <w:rsid w:val="00E44C30"/>
    <w:rsid w:val="00E50C09"/>
    <w:rsid w:val="00E50F73"/>
    <w:rsid w:val="00E746B5"/>
    <w:rsid w:val="00E83B9E"/>
    <w:rsid w:val="00ED1215"/>
    <w:rsid w:val="00ED7948"/>
    <w:rsid w:val="00EE57BB"/>
    <w:rsid w:val="00F03D19"/>
    <w:rsid w:val="00F043B3"/>
    <w:rsid w:val="00F548B3"/>
    <w:rsid w:val="00F7327A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11979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2024-12-13T08:59:00Z</dcterms:created>
  <dcterms:modified xsi:type="dcterms:W3CDTF">2024-12-13T08:59:00Z</dcterms:modified>
</cp:coreProperties>
</file>