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5D305" w14:textId="77777777" w:rsidR="00EE14B7" w:rsidRDefault="00EE14B7" w:rsidP="00D82558"/>
    <w:p w14:paraId="2051C038" w14:textId="77777777" w:rsidR="00DA3DF7" w:rsidRPr="005E7855" w:rsidRDefault="00DA3DF7" w:rsidP="00D82558">
      <w:pPr>
        <w:rPr>
          <w:rFonts w:asciiTheme="minorHAnsi" w:hAnsiTheme="minorHAnsi"/>
        </w:rPr>
      </w:pPr>
    </w:p>
    <w:p w14:paraId="302D3EC9" w14:textId="77777777" w:rsidR="00EE14B7" w:rsidRPr="005E7855" w:rsidRDefault="00EE14B7" w:rsidP="00D82558">
      <w:pPr>
        <w:rPr>
          <w:rFonts w:asciiTheme="minorHAnsi" w:hAnsiTheme="minorHAnsi"/>
        </w:rPr>
      </w:pPr>
    </w:p>
    <w:p w14:paraId="52CE61EF" w14:textId="460D9359" w:rsidR="00EE14B7" w:rsidRPr="00505056" w:rsidRDefault="0071529C" w:rsidP="00EE14B7">
      <w:pPr>
        <w:jc w:val="center"/>
        <w:rPr>
          <w:rFonts w:asciiTheme="minorHAnsi" w:hAnsiTheme="minorHAnsi" w:cs="Arial"/>
          <w:sz w:val="24"/>
          <w:szCs w:val="24"/>
        </w:rPr>
      </w:pPr>
      <w:r w:rsidRPr="00505056">
        <w:rPr>
          <w:rFonts w:asciiTheme="minorHAnsi" w:hAnsiTheme="minorHAnsi" w:cs="Arial"/>
          <w:b/>
          <w:bCs/>
          <w:sz w:val="24"/>
          <w:szCs w:val="24"/>
        </w:rPr>
        <w:t>Rámcová k</w:t>
      </w:r>
      <w:r w:rsidR="00EE14B7" w:rsidRPr="00505056">
        <w:rPr>
          <w:rFonts w:asciiTheme="minorHAnsi" w:hAnsiTheme="minorHAnsi" w:cs="Arial"/>
          <w:b/>
          <w:bCs/>
          <w:sz w:val="24"/>
          <w:szCs w:val="24"/>
        </w:rPr>
        <w:t xml:space="preserve">upní smlouva </w:t>
      </w:r>
    </w:p>
    <w:p w14:paraId="52900183" w14:textId="7A96D237" w:rsidR="00EE14B7" w:rsidRDefault="00EE14B7" w:rsidP="00EE14B7">
      <w:pPr>
        <w:rPr>
          <w:rFonts w:asciiTheme="minorHAnsi" w:hAnsiTheme="minorHAnsi" w:cs="Arial"/>
        </w:rPr>
      </w:pPr>
      <w:r w:rsidRPr="005E7855">
        <w:rPr>
          <w:rFonts w:asciiTheme="minorHAnsi" w:hAnsiTheme="minorHAnsi" w:cs="Arial"/>
        </w:rPr>
        <w:br/>
      </w:r>
      <w:r w:rsidRPr="005E7855">
        <w:rPr>
          <w:rFonts w:asciiTheme="minorHAnsi" w:hAnsiTheme="minorHAnsi" w:cs="Arial"/>
        </w:rPr>
        <w:br/>
      </w:r>
      <w:r w:rsidRPr="005E7855">
        <w:rPr>
          <w:rFonts w:asciiTheme="minorHAnsi" w:hAnsiTheme="minorHAnsi" w:cs="Arial"/>
          <w:b/>
          <w:bCs/>
        </w:rPr>
        <w:t>Společnost:             </w:t>
      </w:r>
      <w:r w:rsidRPr="005E7855">
        <w:rPr>
          <w:rFonts w:asciiTheme="minorHAnsi" w:hAnsiTheme="minorHAnsi" w:cs="Arial"/>
          <w:b/>
          <w:bCs/>
        </w:rPr>
        <w:tab/>
      </w:r>
      <w:r w:rsidRPr="005E7855">
        <w:rPr>
          <w:rFonts w:asciiTheme="minorHAnsi" w:hAnsiTheme="minorHAnsi" w:cs="Arial"/>
        </w:rPr>
        <w:t>N</w:t>
      </w:r>
      <w:r w:rsidR="007F6C06">
        <w:rPr>
          <w:rFonts w:asciiTheme="minorHAnsi" w:hAnsiTheme="minorHAnsi" w:cs="Arial"/>
        </w:rPr>
        <w:t>OACK</w:t>
      </w:r>
      <w:r w:rsidRPr="005E7855">
        <w:rPr>
          <w:rFonts w:asciiTheme="minorHAnsi" w:hAnsiTheme="minorHAnsi" w:cs="Arial"/>
        </w:rPr>
        <w:t xml:space="preserve"> ČR, spol. s r. o.</w:t>
      </w:r>
      <w:r w:rsidRPr="005E7855">
        <w:rPr>
          <w:rFonts w:asciiTheme="minorHAnsi" w:hAnsiTheme="minorHAnsi" w:cs="Arial"/>
        </w:rPr>
        <w:br/>
        <w:t xml:space="preserve">se sídlem:                    </w:t>
      </w:r>
      <w:r w:rsidRPr="005E7855">
        <w:rPr>
          <w:rFonts w:asciiTheme="minorHAnsi" w:hAnsiTheme="minorHAnsi" w:cs="Arial"/>
        </w:rPr>
        <w:tab/>
      </w:r>
      <w:r w:rsidR="00DA3DF7">
        <w:rPr>
          <w:rFonts w:asciiTheme="minorHAnsi" w:hAnsiTheme="minorHAnsi" w:cs="Arial"/>
        </w:rPr>
        <w:t>Bucharova 2657/12, 158 00 Praha 5</w:t>
      </w:r>
      <w:r w:rsidRPr="005E7855">
        <w:rPr>
          <w:rFonts w:asciiTheme="minorHAnsi" w:hAnsiTheme="minorHAnsi" w:cs="Arial"/>
        </w:rPr>
        <w:br/>
        <w:t>IČ:                                </w:t>
      </w:r>
      <w:r w:rsidRPr="005E7855">
        <w:rPr>
          <w:rFonts w:asciiTheme="minorHAnsi" w:hAnsiTheme="minorHAnsi" w:cs="Arial"/>
        </w:rPr>
        <w:tab/>
        <w:t>45276315</w:t>
      </w:r>
      <w:r w:rsidRPr="005E7855">
        <w:rPr>
          <w:rFonts w:asciiTheme="minorHAnsi" w:hAnsiTheme="minorHAnsi" w:cs="Arial"/>
        </w:rPr>
        <w:br/>
        <w:t xml:space="preserve">DIČ:                             </w:t>
      </w:r>
      <w:r w:rsidRPr="005E7855">
        <w:rPr>
          <w:rFonts w:asciiTheme="minorHAnsi" w:hAnsiTheme="minorHAnsi" w:cs="Arial"/>
        </w:rPr>
        <w:tab/>
        <w:t>CZ45276315</w:t>
      </w:r>
      <w:r w:rsidRPr="005E7855">
        <w:rPr>
          <w:rFonts w:asciiTheme="minorHAnsi" w:hAnsiTheme="minorHAnsi" w:cs="Arial"/>
        </w:rPr>
        <w:br/>
        <w:t>zastoupená:                 </w:t>
      </w:r>
      <w:r w:rsidRPr="005E7855">
        <w:rPr>
          <w:rFonts w:asciiTheme="minorHAnsi" w:hAnsiTheme="minorHAnsi" w:cs="Arial"/>
        </w:rPr>
        <w:tab/>
        <w:t>Ondřej</w:t>
      </w:r>
      <w:r w:rsidR="00E66F38" w:rsidRPr="005E7855">
        <w:rPr>
          <w:rFonts w:asciiTheme="minorHAnsi" w:hAnsiTheme="minorHAnsi" w:cs="Arial"/>
        </w:rPr>
        <w:t>em</w:t>
      </w:r>
      <w:r w:rsidRPr="005E7855">
        <w:rPr>
          <w:rFonts w:asciiTheme="minorHAnsi" w:hAnsiTheme="minorHAnsi" w:cs="Arial"/>
        </w:rPr>
        <w:t xml:space="preserve"> Schejbal</w:t>
      </w:r>
      <w:r w:rsidR="00E66F38" w:rsidRPr="005E7855">
        <w:rPr>
          <w:rFonts w:asciiTheme="minorHAnsi" w:hAnsiTheme="minorHAnsi" w:cs="Arial"/>
        </w:rPr>
        <w:t xml:space="preserve">em, </w:t>
      </w:r>
      <w:r w:rsidR="00DA3DF7">
        <w:rPr>
          <w:rFonts w:asciiTheme="minorHAnsi" w:hAnsiTheme="minorHAnsi" w:cs="Arial"/>
        </w:rPr>
        <w:t>jednatelem</w:t>
      </w:r>
      <w:r w:rsidRPr="005E7855">
        <w:rPr>
          <w:rFonts w:asciiTheme="minorHAnsi" w:hAnsiTheme="minorHAnsi" w:cs="Arial"/>
        </w:rPr>
        <w:br/>
      </w:r>
      <w:r w:rsidRPr="005E7855">
        <w:rPr>
          <w:rFonts w:asciiTheme="minorHAnsi" w:hAnsiTheme="minorHAnsi" w:cs="Arial"/>
        </w:rPr>
        <w:br/>
        <w:t>zapsaná v obchodním rejstříku vedeném Městským soudem v Praze oddíl C, vložka  9575</w:t>
      </w:r>
      <w:r w:rsidRPr="005E7855">
        <w:rPr>
          <w:rFonts w:asciiTheme="minorHAnsi" w:hAnsiTheme="minorHAnsi" w:cs="Arial"/>
        </w:rPr>
        <w:br/>
      </w:r>
      <w:r w:rsidRPr="005E7855">
        <w:rPr>
          <w:rFonts w:asciiTheme="minorHAnsi" w:hAnsiTheme="minorHAnsi" w:cs="Arial"/>
        </w:rPr>
        <w:br/>
        <w:t>(dále jen „prodávající")</w:t>
      </w:r>
      <w:r w:rsidRPr="005E7855">
        <w:rPr>
          <w:rFonts w:asciiTheme="minorHAnsi" w:hAnsiTheme="minorHAnsi" w:cs="Arial"/>
        </w:rPr>
        <w:br/>
      </w:r>
    </w:p>
    <w:p w14:paraId="551E70EC" w14:textId="77777777" w:rsidR="009F6682" w:rsidRPr="005E7855" w:rsidRDefault="009F6682" w:rsidP="00EE14B7">
      <w:pPr>
        <w:rPr>
          <w:rFonts w:asciiTheme="minorHAnsi" w:hAnsiTheme="minorHAnsi" w:cs="Arial"/>
        </w:rPr>
      </w:pPr>
    </w:p>
    <w:p w14:paraId="7996E9CF" w14:textId="77777777" w:rsidR="00EE14B7" w:rsidRPr="009F6682" w:rsidRDefault="00EE14B7" w:rsidP="00EE14B7">
      <w:pPr>
        <w:rPr>
          <w:rFonts w:asciiTheme="minorHAnsi" w:hAnsiTheme="minorHAnsi" w:cs="Arial"/>
          <w:b/>
          <w:bCs/>
        </w:rPr>
      </w:pPr>
      <w:r w:rsidRPr="009F6682">
        <w:rPr>
          <w:rFonts w:asciiTheme="minorHAnsi" w:hAnsiTheme="minorHAnsi" w:cs="Arial"/>
          <w:b/>
          <w:bCs/>
        </w:rPr>
        <w:t>a</w:t>
      </w:r>
    </w:p>
    <w:p w14:paraId="2D94A7A1" w14:textId="77777777" w:rsidR="00EE14B7" w:rsidRDefault="00EE14B7" w:rsidP="00EE14B7">
      <w:pPr>
        <w:rPr>
          <w:rFonts w:asciiTheme="minorHAnsi" w:hAnsiTheme="minorHAnsi" w:cs="Arial"/>
        </w:rPr>
      </w:pPr>
    </w:p>
    <w:p w14:paraId="046EE129" w14:textId="77777777" w:rsidR="009F6682" w:rsidRPr="005E7855" w:rsidRDefault="009F6682" w:rsidP="00EE14B7">
      <w:pPr>
        <w:rPr>
          <w:rFonts w:asciiTheme="minorHAnsi" w:hAnsiTheme="minorHAnsi" w:cs="Arial"/>
        </w:rPr>
      </w:pPr>
    </w:p>
    <w:p w14:paraId="089F43E5" w14:textId="369B247F" w:rsidR="00E97993" w:rsidRDefault="00EE14B7" w:rsidP="00DA3DF7">
      <w:pPr>
        <w:rPr>
          <w:rFonts w:asciiTheme="minorHAnsi" w:hAnsiTheme="minorHAnsi" w:cs="Arial"/>
        </w:rPr>
      </w:pPr>
      <w:r w:rsidRPr="005E7855">
        <w:rPr>
          <w:rFonts w:asciiTheme="minorHAnsi" w:hAnsiTheme="minorHAnsi" w:cs="Arial"/>
          <w:b/>
          <w:bCs/>
        </w:rPr>
        <w:t xml:space="preserve">Společnost:                 </w:t>
      </w:r>
      <w:r w:rsidR="005E7855">
        <w:rPr>
          <w:rFonts w:asciiTheme="minorHAnsi" w:hAnsiTheme="minorHAnsi" w:cs="Arial"/>
          <w:b/>
          <w:bCs/>
        </w:rPr>
        <w:tab/>
      </w:r>
      <w:r w:rsidR="00FD6827">
        <w:rPr>
          <w:rFonts w:asciiTheme="minorHAnsi" w:hAnsiTheme="minorHAnsi" w:cstheme="minorHAnsi"/>
        </w:rPr>
        <w:t>Státní veterinární ústav Praha</w:t>
      </w:r>
    </w:p>
    <w:p w14:paraId="2751656A" w14:textId="77C68DD2" w:rsidR="00DA3DF7" w:rsidRDefault="00EE14B7" w:rsidP="00E97993">
      <w:pPr>
        <w:rPr>
          <w:rFonts w:asciiTheme="minorHAnsi" w:hAnsiTheme="minorHAnsi" w:cs="Arial"/>
        </w:rPr>
      </w:pPr>
      <w:r w:rsidRPr="005E7855">
        <w:rPr>
          <w:rFonts w:asciiTheme="minorHAnsi" w:hAnsiTheme="minorHAnsi" w:cs="Arial"/>
        </w:rPr>
        <w:t xml:space="preserve">se sídlem:                     </w:t>
      </w:r>
      <w:r w:rsidRPr="005E7855">
        <w:rPr>
          <w:rFonts w:asciiTheme="minorHAnsi" w:hAnsiTheme="minorHAnsi" w:cs="Arial"/>
        </w:rPr>
        <w:tab/>
      </w:r>
      <w:r w:rsidR="00FD6827" w:rsidRPr="00C81313">
        <w:rPr>
          <w:rFonts w:cs="Calibri"/>
          <w:iCs/>
          <w:color w:val="000000" w:themeColor="text1"/>
          <w:sz w:val="23"/>
          <w:szCs w:val="23"/>
        </w:rPr>
        <w:t>Sídlištní 136/24, 165 03 Praha 6 - Lysolaje</w:t>
      </w:r>
      <w:r w:rsidRPr="005E7855">
        <w:rPr>
          <w:rFonts w:asciiTheme="minorHAnsi" w:hAnsiTheme="minorHAnsi" w:cs="Arial"/>
        </w:rPr>
        <w:br/>
        <w:t xml:space="preserve">IČ:                                </w:t>
      </w:r>
      <w:r w:rsidRPr="005E7855">
        <w:rPr>
          <w:rFonts w:asciiTheme="minorHAnsi" w:hAnsiTheme="minorHAnsi" w:cs="Arial"/>
        </w:rPr>
        <w:tab/>
      </w:r>
      <w:r w:rsidR="00FD6827" w:rsidRPr="00C81313">
        <w:rPr>
          <w:rFonts w:cs="Calibri"/>
          <w:iCs/>
          <w:color w:val="000000" w:themeColor="text1"/>
          <w:sz w:val="23"/>
          <w:szCs w:val="23"/>
        </w:rPr>
        <w:t>00019305</w:t>
      </w:r>
      <w:r w:rsidRPr="005E7855">
        <w:rPr>
          <w:rFonts w:asciiTheme="minorHAnsi" w:hAnsiTheme="minorHAnsi" w:cs="Arial"/>
        </w:rPr>
        <w:t>                           </w:t>
      </w:r>
      <w:r w:rsidRPr="005E7855">
        <w:rPr>
          <w:rFonts w:asciiTheme="minorHAnsi" w:hAnsiTheme="minorHAnsi" w:cs="Arial"/>
        </w:rPr>
        <w:tab/>
      </w:r>
      <w:r w:rsidRPr="005E7855">
        <w:rPr>
          <w:rFonts w:asciiTheme="minorHAnsi" w:hAnsiTheme="minorHAnsi" w:cs="Arial"/>
        </w:rPr>
        <w:br/>
        <w:t>zastoupená:                 </w:t>
      </w:r>
      <w:r w:rsidRPr="005E7855">
        <w:rPr>
          <w:rFonts w:asciiTheme="minorHAnsi" w:hAnsiTheme="minorHAnsi" w:cs="Arial"/>
        </w:rPr>
        <w:tab/>
      </w:r>
      <w:r w:rsidR="00FD6827">
        <w:rPr>
          <w:rFonts w:asciiTheme="minorHAnsi" w:hAnsiTheme="minorHAnsi" w:cs="Arial"/>
        </w:rPr>
        <w:t xml:space="preserve">MVDr. Kamilem Sedlákem, Ph.D., ředitelem </w:t>
      </w:r>
      <w:r w:rsidR="00161DDD">
        <w:rPr>
          <w:rFonts w:asciiTheme="minorHAnsi" w:hAnsiTheme="minorHAnsi" w:cs="Arial"/>
        </w:rPr>
        <w:t>SVÚ Praha</w:t>
      </w:r>
    </w:p>
    <w:p w14:paraId="1D41E035" w14:textId="77777777" w:rsidR="009F6682" w:rsidRPr="00D24E70" w:rsidRDefault="00EE14B7" w:rsidP="009F6682">
      <w:pPr>
        <w:rPr>
          <w:rFonts w:asciiTheme="minorHAnsi" w:hAnsiTheme="minorHAnsi" w:cs="Arial"/>
        </w:rPr>
      </w:pPr>
      <w:r w:rsidRPr="005E7855">
        <w:rPr>
          <w:rFonts w:asciiTheme="minorHAnsi" w:hAnsiTheme="minorHAnsi" w:cs="Arial"/>
        </w:rPr>
        <w:br/>
        <w:t>(dále jen „kupující")</w:t>
      </w:r>
      <w:r w:rsidRPr="005E7855">
        <w:rPr>
          <w:rFonts w:asciiTheme="minorHAnsi" w:hAnsiTheme="minorHAnsi" w:cs="Arial"/>
        </w:rPr>
        <w:br/>
      </w:r>
      <w:r w:rsidRPr="005E7855">
        <w:rPr>
          <w:rFonts w:asciiTheme="minorHAnsi" w:hAnsiTheme="minorHAnsi" w:cs="Arial"/>
        </w:rPr>
        <w:br/>
      </w:r>
      <w:r w:rsidRPr="005E7855">
        <w:rPr>
          <w:rFonts w:asciiTheme="minorHAnsi" w:hAnsiTheme="minorHAnsi" w:cs="Arial"/>
        </w:rPr>
        <w:br/>
      </w:r>
      <w:r w:rsidRPr="00D24E70">
        <w:rPr>
          <w:rFonts w:asciiTheme="minorHAnsi" w:hAnsiTheme="minorHAnsi" w:cs="Arial"/>
        </w:rPr>
        <w:t>uz</w:t>
      </w:r>
      <w:r w:rsidR="005E7855" w:rsidRPr="00D24E70">
        <w:rPr>
          <w:rFonts w:asciiTheme="minorHAnsi" w:hAnsiTheme="minorHAnsi" w:cs="Arial"/>
        </w:rPr>
        <w:t>avírají</w:t>
      </w:r>
      <w:r w:rsidR="0064716B" w:rsidRPr="00D24E70">
        <w:rPr>
          <w:rFonts w:asciiTheme="minorHAnsi" w:hAnsiTheme="minorHAnsi" w:cs="Arial"/>
        </w:rPr>
        <w:t>, na základě vyhodnocené veřejné zakázky malého rozsahu, administrované na elektronickém tržišti</w:t>
      </w:r>
    </w:p>
    <w:p w14:paraId="3BF55A83" w14:textId="5AD00875" w:rsidR="005E7855" w:rsidRPr="009F6682" w:rsidRDefault="0064716B" w:rsidP="009F6682">
      <w:pPr>
        <w:jc w:val="both"/>
        <w:rPr>
          <w:rFonts w:asciiTheme="minorHAnsi" w:hAnsiTheme="minorHAnsi"/>
        </w:rPr>
      </w:pPr>
      <w:r w:rsidRPr="00D24E70">
        <w:rPr>
          <w:rFonts w:asciiTheme="minorHAnsi" w:hAnsiTheme="minorHAnsi" w:cs="Arial"/>
        </w:rPr>
        <w:t>Gemin</w:t>
      </w:r>
      <w:r w:rsidR="00161DDD" w:rsidRPr="00D24E70">
        <w:rPr>
          <w:rFonts w:asciiTheme="minorHAnsi" w:hAnsiTheme="minorHAnsi" w:cs="Arial"/>
        </w:rPr>
        <w:t xml:space="preserve"> </w:t>
      </w:r>
      <w:r w:rsidRPr="00D24E70">
        <w:rPr>
          <w:rFonts w:asciiTheme="minorHAnsi" w:hAnsiTheme="minorHAnsi" w:cs="Arial"/>
        </w:rPr>
        <w:t>pod systémovým číslem T002/24/V00059410,</w:t>
      </w:r>
      <w:r w:rsidR="005E7855" w:rsidRPr="00D24E70">
        <w:rPr>
          <w:rFonts w:asciiTheme="minorHAnsi" w:hAnsiTheme="minorHAnsi" w:cs="Arial"/>
        </w:rPr>
        <w:t xml:space="preserve"> dle </w:t>
      </w:r>
      <w:r w:rsidR="005E7855" w:rsidRPr="00D24E70">
        <w:rPr>
          <w:rFonts w:asciiTheme="minorHAnsi" w:hAnsiTheme="minorHAnsi"/>
        </w:rPr>
        <w:t>Občanského zákoníku č. 89/2012 Sb.</w:t>
      </w:r>
      <w:r w:rsidR="00D24E70">
        <w:rPr>
          <w:rFonts w:asciiTheme="minorHAnsi" w:hAnsiTheme="minorHAnsi"/>
        </w:rPr>
        <w:t xml:space="preserve">, </w:t>
      </w:r>
      <w:r w:rsidR="00EE14B7" w:rsidRPr="00D24E70">
        <w:rPr>
          <w:rFonts w:asciiTheme="minorHAnsi" w:hAnsiTheme="minorHAnsi" w:cs="Arial"/>
          <w:b/>
          <w:bCs/>
        </w:rPr>
        <w:t>tuto</w:t>
      </w:r>
      <w:r w:rsidR="005E7855" w:rsidRPr="00D24E70">
        <w:rPr>
          <w:rFonts w:asciiTheme="minorHAnsi" w:hAnsiTheme="minorHAnsi" w:cs="Arial"/>
          <w:b/>
          <w:bCs/>
        </w:rPr>
        <w:t xml:space="preserve"> </w:t>
      </w:r>
      <w:r w:rsidR="00E00BC7" w:rsidRPr="00D24E70">
        <w:rPr>
          <w:rFonts w:asciiTheme="minorHAnsi" w:hAnsiTheme="minorHAnsi" w:cs="Arial"/>
          <w:b/>
          <w:bCs/>
        </w:rPr>
        <w:t>rámcovou</w:t>
      </w:r>
      <w:r w:rsidR="00E00BC7" w:rsidRPr="00E00BC7">
        <w:rPr>
          <w:rFonts w:asciiTheme="minorHAnsi" w:hAnsiTheme="minorHAnsi" w:cs="Arial"/>
          <w:b/>
          <w:bCs/>
        </w:rPr>
        <w:t xml:space="preserve"> </w:t>
      </w:r>
      <w:r w:rsidR="00EE14B7" w:rsidRPr="00E00BC7">
        <w:rPr>
          <w:rFonts w:asciiTheme="minorHAnsi" w:hAnsiTheme="minorHAnsi" w:cs="Arial"/>
          <w:b/>
          <w:bCs/>
        </w:rPr>
        <w:t>kupní</w:t>
      </w:r>
      <w:r w:rsidR="00EE14B7" w:rsidRPr="005E7855">
        <w:rPr>
          <w:rFonts w:asciiTheme="minorHAnsi" w:hAnsiTheme="minorHAnsi" w:cs="Arial"/>
          <w:b/>
          <w:bCs/>
        </w:rPr>
        <w:t xml:space="preserve"> smlouvu:</w:t>
      </w:r>
    </w:p>
    <w:p w14:paraId="62300A61" w14:textId="77777777" w:rsidR="00940FFC" w:rsidRDefault="00940FFC" w:rsidP="00EE14B7">
      <w:pPr>
        <w:rPr>
          <w:rFonts w:asciiTheme="minorHAnsi" w:hAnsiTheme="minorHAnsi" w:cs="Arial"/>
          <w:b/>
          <w:bCs/>
        </w:rPr>
      </w:pPr>
    </w:p>
    <w:p w14:paraId="73183037" w14:textId="77777777" w:rsidR="009F6682" w:rsidRPr="005E7855" w:rsidRDefault="009F6682" w:rsidP="00EE14B7">
      <w:pPr>
        <w:rPr>
          <w:rFonts w:asciiTheme="minorHAnsi" w:hAnsiTheme="minorHAnsi" w:cs="Arial"/>
          <w:b/>
          <w:bCs/>
        </w:rPr>
      </w:pPr>
    </w:p>
    <w:p w14:paraId="4E9E23EA" w14:textId="77777777" w:rsidR="00EE14B7" w:rsidRPr="005E7855" w:rsidRDefault="00EE14B7" w:rsidP="00EE14B7">
      <w:pPr>
        <w:jc w:val="center"/>
        <w:rPr>
          <w:rFonts w:asciiTheme="minorHAnsi" w:hAnsiTheme="minorHAnsi" w:cs="Arial"/>
          <w:b/>
          <w:bCs/>
        </w:rPr>
      </w:pPr>
      <w:r w:rsidRPr="005E7855">
        <w:rPr>
          <w:rFonts w:asciiTheme="minorHAnsi" w:hAnsiTheme="minorHAnsi" w:cs="Arial"/>
          <w:b/>
          <w:bCs/>
        </w:rPr>
        <w:t>I.</w:t>
      </w:r>
    </w:p>
    <w:p w14:paraId="23D4970F" w14:textId="77777777" w:rsidR="00EE14B7" w:rsidRPr="005E7855" w:rsidRDefault="00EE14B7" w:rsidP="00EE14B7">
      <w:pPr>
        <w:jc w:val="center"/>
        <w:rPr>
          <w:rFonts w:asciiTheme="minorHAnsi" w:hAnsiTheme="minorHAnsi" w:cs="Arial"/>
        </w:rPr>
      </w:pPr>
      <w:r w:rsidRPr="005E7855">
        <w:rPr>
          <w:rFonts w:asciiTheme="minorHAnsi" w:hAnsiTheme="minorHAnsi" w:cs="Arial"/>
          <w:b/>
          <w:bCs/>
        </w:rPr>
        <w:t>Předmět smlouvy, doba plnění</w:t>
      </w:r>
    </w:p>
    <w:p w14:paraId="699044FF" w14:textId="77777777" w:rsidR="00EE14B7" w:rsidRPr="005E7855" w:rsidRDefault="00EE14B7" w:rsidP="00E00BC7">
      <w:pPr>
        <w:rPr>
          <w:rFonts w:asciiTheme="minorHAnsi" w:hAnsiTheme="minorHAnsi" w:cs="Arial"/>
        </w:rPr>
      </w:pPr>
    </w:p>
    <w:p w14:paraId="33319AB9" w14:textId="219DB3BC" w:rsidR="004F3C0F" w:rsidRDefault="00EE14B7" w:rsidP="004F3C0F">
      <w:pPr>
        <w:jc w:val="both"/>
        <w:rPr>
          <w:rFonts w:asciiTheme="minorHAnsi" w:hAnsiTheme="minorHAnsi" w:cs="Arial"/>
        </w:rPr>
      </w:pPr>
      <w:r w:rsidRPr="005E7855">
        <w:rPr>
          <w:rFonts w:asciiTheme="minorHAnsi" w:hAnsiTheme="minorHAnsi" w:cs="Arial"/>
        </w:rPr>
        <w:t xml:space="preserve">Prodávající se touto smlouvou zavazuje </w:t>
      </w:r>
      <w:r w:rsidR="00E00BC7">
        <w:rPr>
          <w:rFonts w:asciiTheme="minorHAnsi" w:hAnsiTheme="minorHAnsi" w:cs="Arial"/>
        </w:rPr>
        <w:t>dodávat</w:t>
      </w:r>
      <w:r w:rsidRPr="005E7855">
        <w:rPr>
          <w:rFonts w:asciiTheme="minorHAnsi" w:hAnsiTheme="minorHAnsi" w:cs="Arial"/>
        </w:rPr>
        <w:t xml:space="preserve"> kupujícímu </w:t>
      </w:r>
      <w:r w:rsidR="00E00BC7">
        <w:rPr>
          <w:rFonts w:asciiTheme="minorHAnsi" w:hAnsiTheme="minorHAnsi" w:cs="Arial"/>
        </w:rPr>
        <w:t>živné půdy a suplementy</w:t>
      </w:r>
      <w:r w:rsidR="00F32B11">
        <w:rPr>
          <w:rFonts w:asciiTheme="minorHAnsi" w:hAnsiTheme="minorHAnsi" w:cs="Arial"/>
        </w:rPr>
        <w:t xml:space="preserve"> </w:t>
      </w:r>
      <w:r w:rsidRPr="005E7855">
        <w:rPr>
          <w:rFonts w:asciiTheme="minorHAnsi" w:hAnsiTheme="minorHAnsi" w:cs="Arial"/>
        </w:rPr>
        <w:t>v následujících cenách bez DPH:</w:t>
      </w:r>
    </w:p>
    <w:p w14:paraId="222FB82F" w14:textId="77777777" w:rsidR="00940FFC" w:rsidRDefault="00940FFC" w:rsidP="004F3C0F">
      <w:pPr>
        <w:jc w:val="both"/>
        <w:rPr>
          <w:rFonts w:asciiTheme="minorHAnsi" w:hAnsiTheme="minorHAnsi" w:cs="Arial"/>
        </w:rPr>
      </w:pPr>
    </w:p>
    <w:p w14:paraId="48E0EDBF" w14:textId="77777777" w:rsidR="00940FFC" w:rsidRDefault="00940FFC" w:rsidP="004F3C0F">
      <w:pPr>
        <w:jc w:val="both"/>
        <w:rPr>
          <w:rFonts w:asciiTheme="minorHAnsi" w:hAnsiTheme="minorHAnsi" w:cs="Arial"/>
        </w:rPr>
      </w:pPr>
    </w:p>
    <w:p w14:paraId="6D87AC19" w14:textId="77777777" w:rsidR="00940FFC" w:rsidRDefault="00940FFC" w:rsidP="004F3C0F">
      <w:pPr>
        <w:jc w:val="both"/>
        <w:rPr>
          <w:rFonts w:asciiTheme="minorHAnsi" w:hAnsiTheme="minorHAnsi" w:cs="Arial"/>
        </w:rPr>
      </w:pPr>
    </w:p>
    <w:p w14:paraId="4F3BCDBC" w14:textId="77777777" w:rsidR="00940FFC" w:rsidRDefault="00940FFC" w:rsidP="004F3C0F">
      <w:pPr>
        <w:jc w:val="both"/>
        <w:rPr>
          <w:rFonts w:asciiTheme="minorHAnsi" w:hAnsiTheme="minorHAnsi" w:cs="Arial"/>
        </w:rPr>
      </w:pPr>
    </w:p>
    <w:p w14:paraId="4A8E2C37" w14:textId="77777777" w:rsidR="00940FFC" w:rsidRPr="004F3C0F" w:rsidRDefault="00940FFC" w:rsidP="004F3C0F">
      <w:pPr>
        <w:jc w:val="both"/>
        <w:rPr>
          <w:rFonts w:asciiTheme="minorHAnsi" w:hAnsiTheme="minorHAnsi"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80"/>
        <w:gridCol w:w="1900"/>
        <w:gridCol w:w="1528"/>
        <w:gridCol w:w="1985"/>
      </w:tblGrid>
      <w:tr w:rsidR="00E00BC7" w:rsidRPr="00E00BC7" w14:paraId="5FF790F7" w14:textId="77777777" w:rsidTr="009F6682">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14:paraId="78D81D12" w14:textId="65AC50A1" w:rsidR="00E00BC7" w:rsidRPr="00E00BC7" w:rsidRDefault="00E00BC7" w:rsidP="00E00BC7">
            <w:pPr>
              <w:spacing w:line="240" w:lineRule="auto"/>
              <w:rPr>
                <w:rFonts w:eastAsia="Times New Roman" w:cs="Calibri"/>
                <w:b/>
                <w:bCs/>
                <w:color w:val="000000"/>
                <w:sz w:val="20"/>
                <w:szCs w:val="20"/>
                <w:lang w:eastAsia="cs-CZ"/>
              </w:rPr>
            </w:pPr>
            <w:r w:rsidRPr="00E00BC7">
              <w:rPr>
                <w:rFonts w:eastAsia="Times New Roman" w:cs="Calibri"/>
                <w:b/>
                <w:bCs/>
                <w:color w:val="000000"/>
                <w:sz w:val="20"/>
                <w:szCs w:val="20"/>
                <w:lang w:eastAsia="cs-CZ"/>
              </w:rPr>
              <w:t>Název</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0385F" w14:textId="46603AEA" w:rsidR="00E00BC7" w:rsidRPr="00E00BC7" w:rsidRDefault="00E00BC7" w:rsidP="00E00BC7">
            <w:pPr>
              <w:spacing w:line="240" w:lineRule="auto"/>
              <w:rPr>
                <w:rFonts w:eastAsia="Times New Roman" w:cs="Calibri"/>
                <w:b/>
                <w:bCs/>
                <w:sz w:val="20"/>
                <w:szCs w:val="20"/>
                <w:lang w:eastAsia="cs-CZ"/>
              </w:rPr>
            </w:pPr>
            <w:r w:rsidRPr="00E00BC7">
              <w:rPr>
                <w:rFonts w:eastAsia="Times New Roman" w:cs="Calibri"/>
                <w:b/>
                <w:bCs/>
                <w:sz w:val="20"/>
                <w:szCs w:val="20"/>
                <w:lang w:eastAsia="cs-CZ"/>
              </w:rPr>
              <w:t>Obj. kód</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14:paraId="55DF5FAA" w14:textId="7E3A5493" w:rsidR="00E00BC7" w:rsidRPr="00E00BC7" w:rsidRDefault="00E00BC7" w:rsidP="00E00BC7">
            <w:pPr>
              <w:spacing w:line="240" w:lineRule="auto"/>
              <w:rPr>
                <w:rFonts w:eastAsia="Times New Roman" w:cs="Calibri"/>
                <w:b/>
                <w:bCs/>
                <w:color w:val="000000"/>
                <w:sz w:val="20"/>
                <w:szCs w:val="20"/>
                <w:lang w:eastAsia="cs-CZ"/>
              </w:rPr>
            </w:pPr>
            <w:r w:rsidRPr="00E00BC7">
              <w:rPr>
                <w:rFonts w:eastAsia="Times New Roman" w:cs="Calibri"/>
                <w:b/>
                <w:bCs/>
                <w:color w:val="000000"/>
                <w:sz w:val="20"/>
                <w:szCs w:val="20"/>
                <w:lang w:eastAsia="cs-CZ"/>
              </w:rPr>
              <w:t>Balení</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5DDB6" w14:textId="31082C71" w:rsidR="00E00BC7" w:rsidRPr="00E00BC7" w:rsidRDefault="00E00BC7" w:rsidP="00E00BC7">
            <w:pPr>
              <w:spacing w:line="240" w:lineRule="auto"/>
              <w:rPr>
                <w:rFonts w:eastAsia="Times New Roman" w:cs="Calibri"/>
                <w:b/>
                <w:bCs/>
                <w:color w:val="000000"/>
                <w:sz w:val="20"/>
                <w:szCs w:val="20"/>
                <w:lang w:eastAsia="cs-CZ"/>
              </w:rPr>
            </w:pPr>
            <w:r w:rsidRPr="00E00BC7">
              <w:rPr>
                <w:rFonts w:eastAsia="Times New Roman" w:cs="Calibri"/>
                <w:b/>
                <w:bCs/>
                <w:color w:val="000000"/>
                <w:sz w:val="20"/>
                <w:szCs w:val="20"/>
                <w:lang w:eastAsia="cs-CZ"/>
              </w:rPr>
              <w:t>Kč bez DPH</w:t>
            </w:r>
          </w:p>
        </w:tc>
      </w:tr>
      <w:tr w:rsidR="00E00BC7" w:rsidRPr="00E00BC7" w14:paraId="62F30E24" w14:textId="77777777" w:rsidTr="009F6682">
        <w:trPr>
          <w:trHeight w:val="300"/>
        </w:trPr>
        <w:tc>
          <w:tcPr>
            <w:tcW w:w="4080" w:type="dxa"/>
            <w:tcBorders>
              <w:top w:val="single" w:sz="4" w:space="0" w:color="auto"/>
            </w:tcBorders>
            <w:shd w:val="clear" w:color="auto" w:fill="auto"/>
            <w:vAlign w:val="center"/>
            <w:hideMark/>
          </w:tcPr>
          <w:p w14:paraId="1FB6E8F8" w14:textId="77777777" w:rsidR="00E00BC7" w:rsidRPr="00E00BC7" w:rsidRDefault="00E00BC7" w:rsidP="00E00BC7">
            <w:pPr>
              <w:spacing w:line="240" w:lineRule="auto"/>
              <w:rPr>
                <w:rFonts w:eastAsia="Times New Roman" w:cs="Calibri"/>
                <w:color w:val="000000"/>
                <w:sz w:val="20"/>
                <w:szCs w:val="20"/>
                <w:lang w:eastAsia="cs-CZ"/>
              </w:rPr>
            </w:pPr>
            <w:r w:rsidRPr="00E00BC7">
              <w:rPr>
                <w:rFonts w:eastAsia="Times New Roman" w:cs="Calibri"/>
                <w:color w:val="000000"/>
                <w:sz w:val="20"/>
                <w:szCs w:val="20"/>
                <w:lang w:eastAsia="cs-CZ"/>
              </w:rPr>
              <w:t>COMPASS LISTERIA AGAR (BASE)</w:t>
            </w:r>
          </w:p>
        </w:tc>
        <w:tc>
          <w:tcPr>
            <w:tcW w:w="1900" w:type="dxa"/>
            <w:tcBorders>
              <w:top w:val="single" w:sz="4" w:space="0" w:color="auto"/>
            </w:tcBorders>
            <w:shd w:val="clear" w:color="auto" w:fill="auto"/>
            <w:noWrap/>
            <w:vAlign w:val="center"/>
            <w:hideMark/>
          </w:tcPr>
          <w:p w14:paraId="471423FF" w14:textId="77777777" w:rsidR="00E00BC7" w:rsidRPr="00E00BC7" w:rsidRDefault="00E00BC7" w:rsidP="00E00BC7">
            <w:pPr>
              <w:spacing w:line="240" w:lineRule="auto"/>
              <w:rPr>
                <w:rFonts w:eastAsia="Times New Roman" w:cs="Calibri"/>
                <w:sz w:val="20"/>
                <w:szCs w:val="20"/>
                <w:lang w:eastAsia="cs-CZ"/>
              </w:rPr>
            </w:pPr>
            <w:r w:rsidRPr="00E00BC7">
              <w:rPr>
                <w:rFonts w:eastAsia="Times New Roman" w:cs="Calibri"/>
                <w:sz w:val="20"/>
                <w:szCs w:val="20"/>
                <w:lang w:eastAsia="cs-CZ"/>
              </w:rPr>
              <w:t>BKRBK 192 HA</w:t>
            </w:r>
          </w:p>
        </w:tc>
        <w:tc>
          <w:tcPr>
            <w:tcW w:w="1528" w:type="dxa"/>
            <w:tcBorders>
              <w:top w:val="single" w:sz="4" w:space="0" w:color="auto"/>
            </w:tcBorders>
            <w:shd w:val="clear" w:color="auto" w:fill="auto"/>
            <w:vAlign w:val="center"/>
            <w:hideMark/>
          </w:tcPr>
          <w:p w14:paraId="6AB5C66D" w14:textId="77777777" w:rsidR="00E00BC7" w:rsidRPr="00E00BC7" w:rsidRDefault="00E00BC7" w:rsidP="00E00BC7">
            <w:pPr>
              <w:spacing w:line="240" w:lineRule="auto"/>
              <w:jc w:val="center"/>
              <w:rPr>
                <w:rFonts w:eastAsia="Times New Roman" w:cs="Calibri"/>
                <w:color w:val="000000"/>
                <w:sz w:val="20"/>
                <w:szCs w:val="20"/>
                <w:lang w:eastAsia="cs-CZ"/>
              </w:rPr>
            </w:pPr>
            <w:r w:rsidRPr="00E00BC7">
              <w:rPr>
                <w:rFonts w:eastAsia="Times New Roman" w:cs="Calibri"/>
                <w:color w:val="000000"/>
                <w:sz w:val="20"/>
                <w:szCs w:val="20"/>
                <w:lang w:eastAsia="cs-CZ"/>
              </w:rPr>
              <w:t>500 g</w:t>
            </w:r>
          </w:p>
        </w:tc>
        <w:tc>
          <w:tcPr>
            <w:tcW w:w="1985" w:type="dxa"/>
            <w:tcBorders>
              <w:top w:val="single" w:sz="4" w:space="0" w:color="auto"/>
            </w:tcBorders>
            <w:shd w:val="clear" w:color="auto" w:fill="auto"/>
            <w:noWrap/>
            <w:vAlign w:val="center"/>
            <w:hideMark/>
          </w:tcPr>
          <w:p w14:paraId="00FF7333" w14:textId="3893C53C" w:rsidR="00E00BC7" w:rsidRPr="00E00BC7" w:rsidRDefault="00844A38" w:rsidP="00E00BC7">
            <w:pPr>
              <w:spacing w:line="240" w:lineRule="auto"/>
              <w:jc w:val="right"/>
              <w:rPr>
                <w:rFonts w:eastAsia="Times New Roman" w:cs="Calibri"/>
                <w:b/>
                <w:bCs/>
                <w:color w:val="000000"/>
                <w:sz w:val="20"/>
                <w:szCs w:val="20"/>
                <w:lang w:eastAsia="cs-CZ"/>
              </w:rPr>
            </w:pPr>
            <w:r>
              <w:rPr>
                <w:rFonts w:eastAsia="Times New Roman" w:cs="Calibri"/>
                <w:b/>
                <w:bCs/>
                <w:color w:val="000000"/>
                <w:sz w:val="20"/>
                <w:szCs w:val="20"/>
                <w:lang w:eastAsia="cs-CZ"/>
              </w:rPr>
              <w:t>XX</w:t>
            </w:r>
            <w:r w:rsidR="00E00BC7" w:rsidRPr="00E00BC7">
              <w:rPr>
                <w:rFonts w:eastAsia="Times New Roman" w:cs="Calibri"/>
                <w:b/>
                <w:bCs/>
                <w:color w:val="000000"/>
                <w:sz w:val="20"/>
                <w:szCs w:val="20"/>
                <w:lang w:eastAsia="cs-CZ"/>
              </w:rPr>
              <w:t xml:space="preserve"> </w:t>
            </w:r>
          </w:p>
        </w:tc>
      </w:tr>
      <w:tr w:rsidR="00E00BC7" w:rsidRPr="00E00BC7" w14:paraId="0F2AB40D" w14:textId="77777777" w:rsidTr="009F6682">
        <w:trPr>
          <w:trHeight w:val="300"/>
        </w:trPr>
        <w:tc>
          <w:tcPr>
            <w:tcW w:w="4080" w:type="dxa"/>
            <w:shd w:val="clear" w:color="auto" w:fill="auto"/>
            <w:vAlign w:val="center"/>
            <w:hideMark/>
          </w:tcPr>
          <w:p w14:paraId="21727823" w14:textId="77777777" w:rsidR="00E00BC7" w:rsidRPr="00E00BC7" w:rsidRDefault="00E00BC7" w:rsidP="00E00BC7">
            <w:pPr>
              <w:spacing w:line="240" w:lineRule="auto"/>
              <w:rPr>
                <w:rFonts w:eastAsia="Times New Roman" w:cs="Calibri"/>
                <w:color w:val="000000"/>
                <w:sz w:val="20"/>
                <w:szCs w:val="20"/>
                <w:lang w:eastAsia="cs-CZ"/>
              </w:rPr>
            </w:pPr>
            <w:r w:rsidRPr="00E00BC7">
              <w:rPr>
                <w:rFonts w:eastAsia="Times New Roman" w:cs="Calibri"/>
                <w:color w:val="000000"/>
                <w:sz w:val="20"/>
                <w:szCs w:val="20"/>
                <w:lang w:eastAsia="cs-CZ"/>
              </w:rPr>
              <w:t>COMPASS LISTERIA ENRICHMENT SUPPLEMENT</w:t>
            </w:r>
          </w:p>
        </w:tc>
        <w:tc>
          <w:tcPr>
            <w:tcW w:w="1900" w:type="dxa"/>
            <w:shd w:val="clear" w:color="auto" w:fill="auto"/>
            <w:noWrap/>
            <w:vAlign w:val="center"/>
            <w:hideMark/>
          </w:tcPr>
          <w:p w14:paraId="3F779BB9" w14:textId="77777777" w:rsidR="00E00BC7" w:rsidRPr="00E00BC7" w:rsidRDefault="00E00BC7" w:rsidP="00E00BC7">
            <w:pPr>
              <w:spacing w:line="240" w:lineRule="auto"/>
              <w:rPr>
                <w:rFonts w:eastAsia="Times New Roman" w:cs="Calibri"/>
                <w:sz w:val="20"/>
                <w:szCs w:val="20"/>
                <w:lang w:eastAsia="cs-CZ"/>
              </w:rPr>
            </w:pPr>
            <w:r w:rsidRPr="00E00BC7">
              <w:rPr>
                <w:rFonts w:eastAsia="Times New Roman" w:cs="Calibri"/>
                <w:sz w:val="20"/>
                <w:szCs w:val="20"/>
                <w:lang w:eastAsia="cs-CZ"/>
              </w:rPr>
              <w:t>BKRBS 070 08</w:t>
            </w:r>
          </w:p>
        </w:tc>
        <w:tc>
          <w:tcPr>
            <w:tcW w:w="1528" w:type="dxa"/>
            <w:shd w:val="clear" w:color="auto" w:fill="auto"/>
            <w:vAlign w:val="center"/>
            <w:hideMark/>
          </w:tcPr>
          <w:p w14:paraId="6A9DED35" w14:textId="77777777" w:rsidR="00E00BC7" w:rsidRPr="00E00BC7" w:rsidRDefault="00E00BC7" w:rsidP="00E00BC7">
            <w:pPr>
              <w:spacing w:line="240" w:lineRule="auto"/>
              <w:jc w:val="center"/>
              <w:rPr>
                <w:rFonts w:eastAsia="Times New Roman" w:cs="Calibri"/>
                <w:color w:val="000000"/>
                <w:sz w:val="20"/>
                <w:szCs w:val="20"/>
                <w:lang w:eastAsia="cs-CZ"/>
              </w:rPr>
            </w:pPr>
            <w:r w:rsidRPr="00E00BC7">
              <w:rPr>
                <w:rFonts w:eastAsia="Times New Roman" w:cs="Calibri"/>
                <w:color w:val="000000"/>
                <w:sz w:val="20"/>
                <w:szCs w:val="20"/>
                <w:lang w:eastAsia="cs-CZ"/>
              </w:rPr>
              <w:t>1bal/8x30ml</w:t>
            </w:r>
          </w:p>
        </w:tc>
        <w:tc>
          <w:tcPr>
            <w:tcW w:w="1985" w:type="dxa"/>
            <w:shd w:val="clear" w:color="auto" w:fill="auto"/>
            <w:noWrap/>
            <w:vAlign w:val="center"/>
            <w:hideMark/>
          </w:tcPr>
          <w:p w14:paraId="2D9D8602" w14:textId="2BB03F0C" w:rsidR="00E00BC7" w:rsidRPr="00E00BC7" w:rsidRDefault="00844A38" w:rsidP="00E00BC7">
            <w:pPr>
              <w:spacing w:line="240" w:lineRule="auto"/>
              <w:jc w:val="right"/>
              <w:rPr>
                <w:rFonts w:eastAsia="Times New Roman" w:cs="Calibri"/>
                <w:b/>
                <w:bCs/>
                <w:color w:val="000000"/>
                <w:sz w:val="20"/>
                <w:szCs w:val="20"/>
                <w:lang w:eastAsia="cs-CZ"/>
              </w:rPr>
            </w:pPr>
            <w:r>
              <w:rPr>
                <w:rFonts w:eastAsia="Times New Roman" w:cs="Calibri"/>
                <w:b/>
                <w:bCs/>
                <w:color w:val="000000"/>
                <w:sz w:val="20"/>
                <w:szCs w:val="20"/>
                <w:lang w:eastAsia="cs-CZ"/>
              </w:rPr>
              <w:t>XX</w:t>
            </w:r>
          </w:p>
        </w:tc>
      </w:tr>
      <w:tr w:rsidR="00E00BC7" w:rsidRPr="00E00BC7" w14:paraId="492B3609" w14:textId="77777777" w:rsidTr="009F6682">
        <w:trPr>
          <w:trHeight w:val="300"/>
        </w:trPr>
        <w:tc>
          <w:tcPr>
            <w:tcW w:w="4080" w:type="dxa"/>
            <w:shd w:val="clear" w:color="auto" w:fill="auto"/>
            <w:vAlign w:val="center"/>
            <w:hideMark/>
          </w:tcPr>
          <w:p w14:paraId="744A0879" w14:textId="77777777" w:rsidR="00E00BC7" w:rsidRPr="00E00BC7" w:rsidRDefault="00E00BC7" w:rsidP="00E00BC7">
            <w:pPr>
              <w:spacing w:line="240" w:lineRule="auto"/>
              <w:rPr>
                <w:rFonts w:eastAsia="Times New Roman" w:cs="Calibri"/>
                <w:sz w:val="20"/>
                <w:szCs w:val="20"/>
                <w:lang w:eastAsia="cs-CZ"/>
              </w:rPr>
            </w:pPr>
            <w:r w:rsidRPr="00E00BC7">
              <w:rPr>
                <w:rFonts w:eastAsia="Times New Roman" w:cs="Calibri"/>
                <w:sz w:val="20"/>
                <w:szCs w:val="20"/>
                <w:lang w:eastAsia="cs-CZ"/>
              </w:rPr>
              <w:t>COMPASS LISTERIA SELECTIVE SUPPLEMENT</w:t>
            </w:r>
          </w:p>
        </w:tc>
        <w:tc>
          <w:tcPr>
            <w:tcW w:w="1900" w:type="dxa"/>
            <w:shd w:val="clear" w:color="auto" w:fill="auto"/>
            <w:noWrap/>
            <w:vAlign w:val="center"/>
            <w:hideMark/>
          </w:tcPr>
          <w:p w14:paraId="5733FB2C" w14:textId="77777777" w:rsidR="00E00BC7" w:rsidRPr="00E00BC7" w:rsidRDefault="00E00BC7" w:rsidP="00E00BC7">
            <w:pPr>
              <w:spacing w:line="240" w:lineRule="auto"/>
              <w:rPr>
                <w:rFonts w:eastAsia="Times New Roman" w:cs="Calibri"/>
                <w:sz w:val="20"/>
                <w:szCs w:val="20"/>
                <w:lang w:eastAsia="cs-CZ"/>
              </w:rPr>
            </w:pPr>
            <w:r w:rsidRPr="00E00BC7">
              <w:rPr>
                <w:rFonts w:eastAsia="Times New Roman" w:cs="Calibri"/>
                <w:sz w:val="20"/>
                <w:szCs w:val="20"/>
                <w:lang w:eastAsia="cs-CZ"/>
              </w:rPr>
              <w:t>BKRBS 071 08</w:t>
            </w:r>
          </w:p>
        </w:tc>
        <w:tc>
          <w:tcPr>
            <w:tcW w:w="1528" w:type="dxa"/>
            <w:shd w:val="clear" w:color="auto" w:fill="auto"/>
            <w:vAlign w:val="center"/>
            <w:hideMark/>
          </w:tcPr>
          <w:p w14:paraId="0037B283" w14:textId="77777777" w:rsidR="00E00BC7" w:rsidRPr="00E00BC7" w:rsidRDefault="00E00BC7" w:rsidP="00E00BC7">
            <w:pPr>
              <w:spacing w:line="240" w:lineRule="auto"/>
              <w:jc w:val="center"/>
              <w:rPr>
                <w:rFonts w:eastAsia="Times New Roman" w:cs="Calibri"/>
                <w:color w:val="000000"/>
                <w:sz w:val="20"/>
                <w:szCs w:val="20"/>
                <w:lang w:eastAsia="cs-CZ"/>
              </w:rPr>
            </w:pPr>
            <w:r w:rsidRPr="00E00BC7">
              <w:rPr>
                <w:rFonts w:eastAsia="Times New Roman" w:cs="Calibri"/>
                <w:color w:val="000000"/>
                <w:sz w:val="20"/>
                <w:szCs w:val="20"/>
                <w:lang w:eastAsia="cs-CZ"/>
              </w:rPr>
              <w:t>1 bal/8ks</w:t>
            </w:r>
          </w:p>
        </w:tc>
        <w:tc>
          <w:tcPr>
            <w:tcW w:w="1985" w:type="dxa"/>
            <w:shd w:val="clear" w:color="auto" w:fill="auto"/>
            <w:noWrap/>
            <w:vAlign w:val="center"/>
            <w:hideMark/>
          </w:tcPr>
          <w:p w14:paraId="589437BD" w14:textId="4FCC07CA" w:rsidR="00E00BC7" w:rsidRPr="00E00BC7" w:rsidRDefault="00844A38" w:rsidP="00E00BC7">
            <w:pPr>
              <w:spacing w:line="240" w:lineRule="auto"/>
              <w:jc w:val="right"/>
              <w:rPr>
                <w:rFonts w:eastAsia="Times New Roman" w:cs="Calibri"/>
                <w:b/>
                <w:bCs/>
                <w:color w:val="000000"/>
                <w:sz w:val="20"/>
                <w:szCs w:val="20"/>
                <w:lang w:eastAsia="cs-CZ"/>
              </w:rPr>
            </w:pPr>
            <w:r>
              <w:rPr>
                <w:rFonts w:eastAsia="Times New Roman" w:cs="Calibri"/>
                <w:b/>
                <w:bCs/>
                <w:color w:val="000000"/>
                <w:sz w:val="20"/>
                <w:szCs w:val="20"/>
                <w:lang w:eastAsia="cs-CZ"/>
              </w:rPr>
              <w:t>XX</w:t>
            </w:r>
          </w:p>
        </w:tc>
      </w:tr>
      <w:tr w:rsidR="00E00BC7" w:rsidRPr="00E00BC7" w14:paraId="2C5B81B6" w14:textId="77777777" w:rsidTr="009F6682">
        <w:trPr>
          <w:trHeight w:val="300"/>
        </w:trPr>
        <w:tc>
          <w:tcPr>
            <w:tcW w:w="4080" w:type="dxa"/>
            <w:shd w:val="clear" w:color="auto" w:fill="auto"/>
            <w:vAlign w:val="center"/>
            <w:hideMark/>
          </w:tcPr>
          <w:p w14:paraId="19C4D216" w14:textId="77777777" w:rsidR="00E00BC7" w:rsidRPr="00E00BC7" w:rsidRDefault="00E00BC7" w:rsidP="00E00BC7">
            <w:pPr>
              <w:spacing w:line="240" w:lineRule="auto"/>
              <w:rPr>
                <w:rFonts w:eastAsia="Times New Roman" w:cs="Calibri"/>
                <w:sz w:val="20"/>
                <w:szCs w:val="20"/>
                <w:lang w:eastAsia="cs-CZ"/>
              </w:rPr>
            </w:pPr>
            <w:r w:rsidRPr="00E00BC7">
              <w:rPr>
                <w:rFonts w:eastAsia="Times New Roman" w:cs="Calibri"/>
                <w:sz w:val="20"/>
                <w:szCs w:val="20"/>
                <w:lang w:eastAsia="cs-CZ"/>
              </w:rPr>
              <w:t>TBX AGAR</w:t>
            </w:r>
          </w:p>
        </w:tc>
        <w:tc>
          <w:tcPr>
            <w:tcW w:w="1900" w:type="dxa"/>
            <w:shd w:val="clear" w:color="auto" w:fill="auto"/>
            <w:noWrap/>
            <w:vAlign w:val="center"/>
            <w:hideMark/>
          </w:tcPr>
          <w:p w14:paraId="2EBC4F2A" w14:textId="77777777" w:rsidR="00E00BC7" w:rsidRPr="00E00BC7" w:rsidRDefault="00E00BC7" w:rsidP="00E00BC7">
            <w:pPr>
              <w:spacing w:line="240" w:lineRule="auto"/>
              <w:rPr>
                <w:rFonts w:eastAsia="Times New Roman" w:cs="Calibri"/>
                <w:sz w:val="20"/>
                <w:szCs w:val="20"/>
                <w:lang w:eastAsia="cs-CZ"/>
              </w:rPr>
            </w:pPr>
            <w:r w:rsidRPr="00E00BC7">
              <w:rPr>
                <w:rFonts w:eastAsia="Times New Roman" w:cs="Calibri"/>
                <w:sz w:val="20"/>
                <w:szCs w:val="20"/>
                <w:lang w:eastAsia="cs-CZ"/>
              </w:rPr>
              <w:t>BKRBK 146 HA</w:t>
            </w:r>
          </w:p>
        </w:tc>
        <w:tc>
          <w:tcPr>
            <w:tcW w:w="1528" w:type="dxa"/>
            <w:shd w:val="clear" w:color="auto" w:fill="auto"/>
            <w:vAlign w:val="center"/>
            <w:hideMark/>
          </w:tcPr>
          <w:p w14:paraId="0935C871" w14:textId="77777777" w:rsidR="00E00BC7" w:rsidRPr="00E00BC7" w:rsidRDefault="00E00BC7" w:rsidP="00E00BC7">
            <w:pPr>
              <w:spacing w:line="240" w:lineRule="auto"/>
              <w:jc w:val="center"/>
              <w:rPr>
                <w:rFonts w:eastAsia="Times New Roman" w:cs="Calibri"/>
                <w:color w:val="000000"/>
                <w:sz w:val="20"/>
                <w:szCs w:val="20"/>
                <w:lang w:eastAsia="cs-CZ"/>
              </w:rPr>
            </w:pPr>
            <w:r w:rsidRPr="00E00BC7">
              <w:rPr>
                <w:rFonts w:eastAsia="Times New Roman" w:cs="Calibri"/>
                <w:color w:val="000000"/>
                <w:sz w:val="20"/>
                <w:szCs w:val="20"/>
                <w:lang w:eastAsia="cs-CZ"/>
              </w:rPr>
              <w:t>500 g</w:t>
            </w:r>
          </w:p>
        </w:tc>
        <w:tc>
          <w:tcPr>
            <w:tcW w:w="1985" w:type="dxa"/>
            <w:shd w:val="clear" w:color="auto" w:fill="auto"/>
            <w:noWrap/>
            <w:vAlign w:val="center"/>
            <w:hideMark/>
          </w:tcPr>
          <w:p w14:paraId="01D03A5C" w14:textId="2878D5DF" w:rsidR="00E00BC7" w:rsidRPr="00E00BC7" w:rsidRDefault="00844A38" w:rsidP="00E00BC7">
            <w:pPr>
              <w:spacing w:line="240" w:lineRule="auto"/>
              <w:jc w:val="right"/>
              <w:rPr>
                <w:rFonts w:eastAsia="Times New Roman" w:cs="Calibri"/>
                <w:b/>
                <w:bCs/>
                <w:color w:val="000000"/>
                <w:sz w:val="20"/>
                <w:szCs w:val="20"/>
                <w:lang w:eastAsia="cs-CZ"/>
              </w:rPr>
            </w:pPr>
            <w:r>
              <w:rPr>
                <w:rFonts w:eastAsia="Times New Roman" w:cs="Calibri"/>
                <w:b/>
                <w:bCs/>
                <w:color w:val="000000"/>
                <w:sz w:val="20"/>
                <w:szCs w:val="20"/>
                <w:lang w:eastAsia="cs-CZ"/>
              </w:rPr>
              <w:t>XX</w:t>
            </w:r>
          </w:p>
        </w:tc>
      </w:tr>
      <w:tr w:rsidR="00E00BC7" w:rsidRPr="00E00BC7" w14:paraId="3EFB07CE" w14:textId="77777777" w:rsidTr="009F6682">
        <w:trPr>
          <w:trHeight w:val="300"/>
        </w:trPr>
        <w:tc>
          <w:tcPr>
            <w:tcW w:w="4080" w:type="dxa"/>
            <w:shd w:val="clear" w:color="auto" w:fill="auto"/>
            <w:vAlign w:val="center"/>
            <w:hideMark/>
          </w:tcPr>
          <w:p w14:paraId="4D8BF5FD" w14:textId="77777777" w:rsidR="00E00BC7" w:rsidRPr="00E00BC7" w:rsidRDefault="00E00BC7" w:rsidP="00E00BC7">
            <w:pPr>
              <w:spacing w:line="240" w:lineRule="auto"/>
              <w:rPr>
                <w:rFonts w:eastAsia="Times New Roman" w:cs="Calibri"/>
                <w:sz w:val="20"/>
                <w:szCs w:val="20"/>
                <w:lang w:eastAsia="cs-CZ"/>
              </w:rPr>
            </w:pPr>
            <w:r w:rsidRPr="00E00BC7">
              <w:rPr>
                <w:rFonts w:eastAsia="Times New Roman" w:cs="Calibri"/>
                <w:sz w:val="20"/>
                <w:szCs w:val="20"/>
                <w:lang w:eastAsia="cs-CZ"/>
              </w:rPr>
              <w:t>VRBL AGAR (VIOLET RED BILE LACTOSE)</w:t>
            </w:r>
          </w:p>
        </w:tc>
        <w:tc>
          <w:tcPr>
            <w:tcW w:w="1900" w:type="dxa"/>
            <w:shd w:val="clear" w:color="auto" w:fill="auto"/>
            <w:noWrap/>
            <w:vAlign w:val="center"/>
            <w:hideMark/>
          </w:tcPr>
          <w:p w14:paraId="0D68D7B6" w14:textId="77777777" w:rsidR="00E00BC7" w:rsidRPr="00E00BC7" w:rsidRDefault="00E00BC7" w:rsidP="00E00BC7">
            <w:pPr>
              <w:spacing w:line="240" w:lineRule="auto"/>
              <w:rPr>
                <w:rFonts w:eastAsia="Times New Roman" w:cs="Calibri"/>
                <w:sz w:val="20"/>
                <w:szCs w:val="20"/>
                <w:lang w:eastAsia="cs-CZ"/>
              </w:rPr>
            </w:pPr>
            <w:r w:rsidRPr="00E00BC7">
              <w:rPr>
                <w:rFonts w:eastAsia="Times New Roman" w:cs="Calibri"/>
                <w:sz w:val="20"/>
                <w:szCs w:val="20"/>
                <w:lang w:eastAsia="cs-CZ"/>
              </w:rPr>
              <w:t>BKRBK 152 HA</w:t>
            </w:r>
          </w:p>
        </w:tc>
        <w:tc>
          <w:tcPr>
            <w:tcW w:w="1528" w:type="dxa"/>
            <w:shd w:val="clear" w:color="auto" w:fill="auto"/>
            <w:vAlign w:val="center"/>
            <w:hideMark/>
          </w:tcPr>
          <w:p w14:paraId="0A280AB5" w14:textId="77777777" w:rsidR="00E00BC7" w:rsidRPr="00E00BC7" w:rsidRDefault="00E00BC7" w:rsidP="00E00BC7">
            <w:pPr>
              <w:spacing w:line="240" w:lineRule="auto"/>
              <w:jc w:val="center"/>
              <w:rPr>
                <w:rFonts w:eastAsia="Times New Roman" w:cs="Calibri"/>
                <w:color w:val="000000"/>
                <w:sz w:val="20"/>
                <w:szCs w:val="20"/>
                <w:lang w:eastAsia="cs-CZ"/>
              </w:rPr>
            </w:pPr>
            <w:r w:rsidRPr="00E00BC7">
              <w:rPr>
                <w:rFonts w:eastAsia="Times New Roman" w:cs="Calibri"/>
                <w:color w:val="000000"/>
                <w:sz w:val="20"/>
                <w:szCs w:val="20"/>
                <w:lang w:eastAsia="cs-CZ"/>
              </w:rPr>
              <w:t>500 g</w:t>
            </w:r>
          </w:p>
        </w:tc>
        <w:tc>
          <w:tcPr>
            <w:tcW w:w="1985" w:type="dxa"/>
            <w:shd w:val="clear" w:color="auto" w:fill="auto"/>
            <w:noWrap/>
            <w:vAlign w:val="center"/>
            <w:hideMark/>
          </w:tcPr>
          <w:p w14:paraId="5F9A56A6" w14:textId="7DCA83E6" w:rsidR="00E00BC7" w:rsidRPr="00E00BC7" w:rsidRDefault="00844A38" w:rsidP="00E00BC7">
            <w:pPr>
              <w:spacing w:line="240" w:lineRule="auto"/>
              <w:jc w:val="right"/>
              <w:rPr>
                <w:rFonts w:eastAsia="Times New Roman" w:cs="Calibri"/>
                <w:b/>
                <w:bCs/>
                <w:color w:val="000000"/>
                <w:sz w:val="20"/>
                <w:szCs w:val="20"/>
                <w:lang w:eastAsia="cs-CZ"/>
              </w:rPr>
            </w:pPr>
            <w:r>
              <w:rPr>
                <w:rFonts w:eastAsia="Times New Roman" w:cs="Calibri"/>
                <w:b/>
                <w:bCs/>
                <w:color w:val="000000"/>
                <w:sz w:val="20"/>
                <w:szCs w:val="20"/>
                <w:lang w:eastAsia="cs-CZ"/>
              </w:rPr>
              <w:t>XX</w:t>
            </w:r>
            <w:r w:rsidR="00E00BC7" w:rsidRPr="00E00BC7">
              <w:rPr>
                <w:rFonts w:eastAsia="Times New Roman" w:cs="Calibri"/>
                <w:b/>
                <w:bCs/>
                <w:color w:val="000000"/>
                <w:sz w:val="20"/>
                <w:szCs w:val="20"/>
                <w:lang w:eastAsia="cs-CZ"/>
              </w:rPr>
              <w:t xml:space="preserve"> </w:t>
            </w:r>
          </w:p>
        </w:tc>
      </w:tr>
      <w:tr w:rsidR="00E00BC7" w:rsidRPr="00E00BC7" w14:paraId="0D639E09" w14:textId="77777777" w:rsidTr="009F6682">
        <w:trPr>
          <w:trHeight w:val="300"/>
        </w:trPr>
        <w:tc>
          <w:tcPr>
            <w:tcW w:w="4080" w:type="dxa"/>
            <w:shd w:val="clear" w:color="auto" w:fill="auto"/>
            <w:vAlign w:val="center"/>
            <w:hideMark/>
          </w:tcPr>
          <w:p w14:paraId="3F673A16" w14:textId="77777777" w:rsidR="00E00BC7" w:rsidRPr="00E00BC7" w:rsidRDefault="00E00BC7" w:rsidP="00E00BC7">
            <w:pPr>
              <w:spacing w:line="240" w:lineRule="auto"/>
              <w:rPr>
                <w:rFonts w:eastAsia="Times New Roman" w:cs="Calibri"/>
                <w:sz w:val="20"/>
                <w:szCs w:val="20"/>
                <w:lang w:eastAsia="cs-CZ"/>
              </w:rPr>
            </w:pPr>
            <w:r w:rsidRPr="00E00BC7">
              <w:rPr>
                <w:rFonts w:eastAsia="Times New Roman" w:cs="Calibri"/>
                <w:sz w:val="20"/>
                <w:szCs w:val="20"/>
                <w:lang w:eastAsia="cs-CZ"/>
              </w:rPr>
              <w:t>IRIS SALMONELLA AGAR</w:t>
            </w:r>
          </w:p>
        </w:tc>
        <w:tc>
          <w:tcPr>
            <w:tcW w:w="1900" w:type="dxa"/>
            <w:shd w:val="clear" w:color="auto" w:fill="auto"/>
            <w:noWrap/>
            <w:vAlign w:val="center"/>
            <w:hideMark/>
          </w:tcPr>
          <w:p w14:paraId="762C2612" w14:textId="77777777" w:rsidR="00E00BC7" w:rsidRPr="00E00BC7" w:rsidRDefault="00E00BC7" w:rsidP="00E00BC7">
            <w:pPr>
              <w:spacing w:line="240" w:lineRule="auto"/>
              <w:rPr>
                <w:rFonts w:eastAsia="Times New Roman" w:cs="Calibri"/>
                <w:sz w:val="20"/>
                <w:szCs w:val="20"/>
                <w:lang w:eastAsia="cs-CZ"/>
              </w:rPr>
            </w:pPr>
            <w:r w:rsidRPr="00E00BC7">
              <w:rPr>
                <w:rFonts w:eastAsia="Times New Roman" w:cs="Calibri"/>
                <w:sz w:val="20"/>
                <w:szCs w:val="20"/>
                <w:lang w:eastAsia="cs-CZ"/>
              </w:rPr>
              <w:t>BKRBK 212 HA</w:t>
            </w:r>
          </w:p>
        </w:tc>
        <w:tc>
          <w:tcPr>
            <w:tcW w:w="1528" w:type="dxa"/>
            <w:shd w:val="clear" w:color="auto" w:fill="auto"/>
            <w:vAlign w:val="center"/>
            <w:hideMark/>
          </w:tcPr>
          <w:p w14:paraId="16BD76B4" w14:textId="77777777" w:rsidR="00E00BC7" w:rsidRPr="00E00BC7" w:rsidRDefault="00E00BC7" w:rsidP="00E00BC7">
            <w:pPr>
              <w:spacing w:line="240" w:lineRule="auto"/>
              <w:jc w:val="center"/>
              <w:rPr>
                <w:rFonts w:eastAsia="Times New Roman" w:cs="Calibri"/>
                <w:color w:val="000000"/>
                <w:sz w:val="20"/>
                <w:szCs w:val="20"/>
                <w:lang w:eastAsia="cs-CZ"/>
              </w:rPr>
            </w:pPr>
            <w:r w:rsidRPr="00E00BC7">
              <w:rPr>
                <w:rFonts w:eastAsia="Times New Roman" w:cs="Calibri"/>
                <w:color w:val="000000"/>
                <w:sz w:val="20"/>
                <w:szCs w:val="20"/>
                <w:lang w:eastAsia="cs-CZ"/>
              </w:rPr>
              <w:t>500 g</w:t>
            </w:r>
          </w:p>
        </w:tc>
        <w:tc>
          <w:tcPr>
            <w:tcW w:w="1985" w:type="dxa"/>
            <w:shd w:val="clear" w:color="auto" w:fill="auto"/>
            <w:noWrap/>
            <w:vAlign w:val="center"/>
            <w:hideMark/>
          </w:tcPr>
          <w:p w14:paraId="23945A94" w14:textId="48559886" w:rsidR="00E00BC7" w:rsidRPr="00E00BC7" w:rsidRDefault="00844A38" w:rsidP="00E00BC7">
            <w:pPr>
              <w:spacing w:line="240" w:lineRule="auto"/>
              <w:jc w:val="right"/>
              <w:rPr>
                <w:rFonts w:eastAsia="Times New Roman" w:cs="Calibri"/>
                <w:b/>
                <w:bCs/>
                <w:color w:val="000000"/>
                <w:sz w:val="20"/>
                <w:szCs w:val="20"/>
                <w:lang w:eastAsia="cs-CZ"/>
              </w:rPr>
            </w:pPr>
            <w:r>
              <w:rPr>
                <w:rFonts w:eastAsia="Times New Roman" w:cs="Calibri"/>
                <w:b/>
                <w:bCs/>
                <w:color w:val="000000"/>
                <w:sz w:val="20"/>
                <w:szCs w:val="20"/>
                <w:lang w:eastAsia="cs-CZ"/>
              </w:rPr>
              <w:t>XX</w:t>
            </w:r>
            <w:r w:rsidR="00E00BC7" w:rsidRPr="00E00BC7">
              <w:rPr>
                <w:rFonts w:eastAsia="Times New Roman" w:cs="Calibri"/>
                <w:b/>
                <w:bCs/>
                <w:color w:val="000000"/>
                <w:sz w:val="20"/>
                <w:szCs w:val="20"/>
                <w:lang w:eastAsia="cs-CZ"/>
              </w:rPr>
              <w:t xml:space="preserve"> </w:t>
            </w:r>
          </w:p>
        </w:tc>
      </w:tr>
    </w:tbl>
    <w:p w14:paraId="5842979F" w14:textId="77777777" w:rsidR="008D7036" w:rsidRDefault="008D7036" w:rsidP="00EE14B7">
      <w:pPr>
        <w:pStyle w:val="Prosttext"/>
        <w:rPr>
          <w:rFonts w:asciiTheme="minorHAnsi" w:hAnsiTheme="minorHAnsi" w:cs="Arial"/>
          <w:bCs/>
          <w:sz w:val="22"/>
          <w:szCs w:val="22"/>
        </w:rPr>
      </w:pPr>
    </w:p>
    <w:p w14:paraId="6D5C0506" w14:textId="1AC1EBD2" w:rsidR="00594093" w:rsidRPr="005E7855" w:rsidRDefault="00E00BC7" w:rsidP="00EE14B7">
      <w:pPr>
        <w:pStyle w:val="Prosttext"/>
        <w:rPr>
          <w:rFonts w:asciiTheme="minorHAnsi" w:hAnsiTheme="minorHAnsi" w:cs="Arial"/>
          <w:bCs/>
          <w:sz w:val="22"/>
          <w:szCs w:val="22"/>
        </w:rPr>
      </w:pPr>
      <w:r>
        <w:rPr>
          <w:rFonts w:asciiTheme="minorHAnsi" w:hAnsiTheme="minorHAnsi" w:cs="Arial"/>
          <w:bCs/>
          <w:sz w:val="22"/>
          <w:szCs w:val="22"/>
        </w:rPr>
        <w:t>Doba trvání rámcové kupní smlouvy je 1 rok od uzavření</w:t>
      </w:r>
      <w:r w:rsidR="00594093">
        <w:rPr>
          <w:rFonts w:asciiTheme="minorHAnsi" w:hAnsiTheme="minorHAnsi" w:cs="Arial"/>
          <w:bCs/>
          <w:sz w:val="22"/>
          <w:szCs w:val="22"/>
        </w:rPr>
        <w:t xml:space="preserve">. </w:t>
      </w:r>
    </w:p>
    <w:p w14:paraId="07317CDF" w14:textId="16A6A10E" w:rsidR="005E7855" w:rsidRPr="005E7855" w:rsidRDefault="00EE14B7" w:rsidP="00EE14B7">
      <w:pPr>
        <w:rPr>
          <w:rFonts w:asciiTheme="minorHAnsi" w:hAnsiTheme="minorHAnsi" w:cs="Arial"/>
        </w:rPr>
      </w:pPr>
      <w:r w:rsidRPr="005E7855">
        <w:rPr>
          <w:rFonts w:asciiTheme="minorHAnsi" w:hAnsiTheme="minorHAnsi" w:cs="Arial"/>
        </w:rPr>
        <w:br/>
      </w:r>
      <w:r w:rsidR="00E00BC7">
        <w:rPr>
          <w:rFonts w:asciiTheme="minorHAnsi" w:hAnsiTheme="minorHAnsi" w:cs="Arial"/>
        </w:rPr>
        <w:t>Zboží bude dodáváno na základě dílčích objednávek kupujícího</w:t>
      </w:r>
      <w:r w:rsidR="005E7855">
        <w:rPr>
          <w:rFonts w:asciiTheme="minorHAnsi" w:hAnsiTheme="minorHAnsi" w:cs="Arial"/>
        </w:rPr>
        <w:t>.</w:t>
      </w:r>
      <w:r w:rsidR="00E00BC7">
        <w:rPr>
          <w:rFonts w:asciiTheme="minorHAnsi" w:hAnsiTheme="minorHAnsi" w:cs="Arial"/>
        </w:rPr>
        <w:t xml:space="preserve"> Kupující je povinen dodané zboží převzít a uhradit.</w:t>
      </w:r>
      <w:r w:rsidR="005E7855">
        <w:rPr>
          <w:rFonts w:asciiTheme="minorHAnsi" w:hAnsiTheme="minorHAnsi" w:cs="Arial"/>
        </w:rPr>
        <w:br/>
      </w:r>
    </w:p>
    <w:p w14:paraId="10901B35" w14:textId="77777777" w:rsidR="00EE14B7" w:rsidRPr="005E7855" w:rsidRDefault="00EE14B7" w:rsidP="00EE14B7">
      <w:pPr>
        <w:jc w:val="center"/>
        <w:rPr>
          <w:rFonts w:asciiTheme="minorHAnsi" w:hAnsiTheme="minorHAnsi" w:cs="Arial"/>
          <w:b/>
          <w:bCs/>
        </w:rPr>
      </w:pPr>
      <w:r w:rsidRPr="005E7855">
        <w:rPr>
          <w:rFonts w:asciiTheme="minorHAnsi" w:hAnsiTheme="minorHAnsi" w:cs="Arial"/>
          <w:b/>
          <w:bCs/>
        </w:rPr>
        <w:t>II.</w:t>
      </w:r>
    </w:p>
    <w:p w14:paraId="03706978" w14:textId="77777777" w:rsidR="006F7380" w:rsidRDefault="00EE14B7" w:rsidP="005E7855">
      <w:pPr>
        <w:jc w:val="center"/>
        <w:rPr>
          <w:rFonts w:asciiTheme="minorHAnsi" w:hAnsiTheme="minorHAnsi" w:cs="Arial"/>
        </w:rPr>
      </w:pPr>
      <w:r w:rsidRPr="005E7855">
        <w:rPr>
          <w:rFonts w:asciiTheme="minorHAnsi" w:hAnsiTheme="minorHAnsi" w:cs="Arial"/>
          <w:b/>
          <w:bCs/>
        </w:rPr>
        <w:t>Dodací podmínky</w:t>
      </w:r>
    </w:p>
    <w:p w14:paraId="0A8AD054" w14:textId="11FDC91B" w:rsidR="00EE14B7" w:rsidRPr="005E7855" w:rsidRDefault="00EE14B7" w:rsidP="006F7380">
      <w:pPr>
        <w:jc w:val="both"/>
        <w:rPr>
          <w:rFonts w:asciiTheme="minorHAnsi" w:hAnsiTheme="minorHAnsi" w:cs="Arial"/>
        </w:rPr>
      </w:pPr>
      <w:r w:rsidRPr="005E7855">
        <w:rPr>
          <w:rFonts w:asciiTheme="minorHAnsi" w:hAnsiTheme="minorHAnsi" w:cs="Arial"/>
        </w:rPr>
        <w:br/>
      </w:r>
      <w:r w:rsidR="00E00BC7">
        <w:rPr>
          <w:rFonts w:asciiTheme="minorHAnsi" w:hAnsiTheme="minorHAnsi" w:cs="Arial"/>
        </w:rPr>
        <w:t xml:space="preserve">Zboží bude dodáváno a adresu kupujícího </w:t>
      </w:r>
      <w:r w:rsidR="0001048C">
        <w:rPr>
          <w:rFonts w:asciiTheme="minorHAnsi" w:hAnsiTheme="minorHAnsi" w:cs="Arial"/>
        </w:rPr>
        <w:t>Státní veterinární ústav Praha, Sídlištní 136/24, 165 03 Praha 6</w:t>
      </w:r>
      <w:r w:rsidR="004674BB" w:rsidRPr="005E7855">
        <w:rPr>
          <w:rFonts w:asciiTheme="minorHAnsi" w:hAnsiTheme="minorHAnsi" w:cs="Arial"/>
        </w:rPr>
        <w:t>.</w:t>
      </w:r>
      <w:r w:rsidRPr="005E7855">
        <w:rPr>
          <w:rFonts w:asciiTheme="minorHAnsi" w:hAnsiTheme="minorHAnsi" w:cs="Arial"/>
        </w:rPr>
        <w:t xml:space="preserve"> Přitom bude zkontrolována pracovníkem kupujícího</w:t>
      </w:r>
      <w:r w:rsidR="0001048C">
        <w:rPr>
          <w:rFonts w:asciiTheme="minorHAnsi" w:hAnsiTheme="minorHAnsi" w:cs="Arial"/>
        </w:rPr>
        <w:t xml:space="preserve"> </w:t>
      </w:r>
      <w:r w:rsidRPr="005E7855">
        <w:rPr>
          <w:rFonts w:asciiTheme="minorHAnsi" w:hAnsiTheme="minorHAnsi" w:cs="Arial"/>
        </w:rPr>
        <w:t xml:space="preserve">úplnost dodávky. Společně s dodáním zboží se prodávající zavazuje předat kupujícímu </w:t>
      </w:r>
      <w:r w:rsidR="0001048C">
        <w:rPr>
          <w:rFonts w:asciiTheme="minorHAnsi" w:hAnsiTheme="minorHAnsi" w:cs="Arial"/>
        </w:rPr>
        <w:t>příslušné certifikáty kvality (v tištěné podobě nebo elektronicky)</w:t>
      </w:r>
      <w:r w:rsidRPr="005E7855">
        <w:rPr>
          <w:rFonts w:asciiTheme="minorHAnsi" w:hAnsiTheme="minorHAnsi" w:cs="Arial"/>
        </w:rPr>
        <w:t>. Nebezpečí škody způsobené na zboží (t.j. ztráty, poškození, zničení či znehodnocení zboží) přechází na kupujícího splněním dodávky zboží</w:t>
      </w:r>
      <w:r w:rsidR="00E5709C">
        <w:rPr>
          <w:rFonts w:asciiTheme="minorHAnsi" w:hAnsiTheme="minorHAnsi" w:cs="Arial"/>
        </w:rPr>
        <w:t>.</w:t>
      </w:r>
      <w:r w:rsidRPr="005E7855">
        <w:rPr>
          <w:rFonts w:asciiTheme="minorHAnsi" w:hAnsiTheme="minorHAnsi" w:cs="Arial"/>
        </w:rPr>
        <w:t xml:space="preserve"> Vlastnické právo ke zboží přechází na kupujícího úplným zaplacením kupní ceny</w:t>
      </w:r>
      <w:r w:rsidR="00541AC3">
        <w:rPr>
          <w:rFonts w:asciiTheme="minorHAnsi" w:hAnsiTheme="minorHAnsi" w:cs="Arial"/>
        </w:rPr>
        <w:t>.</w:t>
      </w:r>
    </w:p>
    <w:p w14:paraId="0A66CEAE" w14:textId="77777777" w:rsidR="00EE14B7" w:rsidRDefault="00EE14B7" w:rsidP="00EE14B7">
      <w:pPr>
        <w:jc w:val="both"/>
        <w:rPr>
          <w:rFonts w:asciiTheme="minorHAnsi" w:hAnsiTheme="minorHAnsi" w:cs="Arial"/>
        </w:rPr>
      </w:pPr>
    </w:p>
    <w:p w14:paraId="2513AA7A" w14:textId="77777777" w:rsidR="005E7855" w:rsidRPr="005E7855" w:rsidRDefault="005E7855" w:rsidP="00EE14B7">
      <w:pPr>
        <w:jc w:val="both"/>
        <w:rPr>
          <w:rFonts w:asciiTheme="minorHAnsi" w:hAnsiTheme="minorHAnsi" w:cs="Arial"/>
        </w:rPr>
      </w:pPr>
    </w:p>
    <w:p w14:paraId="7E7FC5CF" w14:textId="77777777" w:rsidR="00EE14B7" w:rsidRPr="005E7855" w:rsidRDefault="00EE14B7" w:rsidP="006F7380">
      <w:pPr>
        <w:jc w:val="center"/>
        <w:rPr>
          <w:rFonts w:asciiTheme="minorHAnsi" w:hAnsiTheme="minorHAnsi" w:cs="Arial"/>
          <w:b/>
          <w:bCs/>
        </w:rPr>
      </w:pPr>
      <w:r w:rsidRPr="005E7855">
        <w:rPr>
          <w:rFonts w:asciiTheme="minorHAnsi" w:hAnsiTheme="minorHAnsi" w:cs="Arial"/>
          <w:b/>
          <w:bCs/>
        </w:rPr>
        <w:t>III.</w:t>
      </w:r>
    </w:p>
    <w:p w14:paraId="06D49EF2" w14:textId="77777777" w:rsidR="006F7380" w:rsidRDefault="00EE14B7" w:rsidP="006F7380">
      <w:pPr>
        <w:jc w:val="center"/>
        <w:rPr>
          <w:rFonts w:asciiTheme="minorHAnsi" w:hAnsiTheme="minorHAnsi" w:cs="Arial"/>
        </w:rPr>
      </w:pPr>
      <w:r w:rsidRPr="005E7855">
        <w:rPr>
          <w:rFonts w:asciiTheme="minorHAnsi" w:hAnsiTheme="minorHAnsi" w:cs="Arial"/>
          <w:b/>
          <w:bCs/>
        </w:rPr>
        <w:t>Kupní cena</w:t>
      </w:r>
    </w:p>
    <w:p w14:paraId="25E2706C" w14:textId="5B5588DC" w:rsidR="00EE14B7" w:rsidRPr="009F6682" w:rsidRDefault="00EE14B7" w:rsidP="006F7380">
      <w:pPr>
        <w:jc w:val="both"/>
        <w:rPr>
          <w:rFonts w:asciiTheme="minorHAnsi" w:hAnsiTheme="minorHAnsi" w:cstheme="minorHAnsi"/>
        </w:rPr>
      </w:pPr>
      <w:r w:rsidRPr="009F6682">
        <w:rPr>
          <w:rFonts w:asciiTheme="minorHAnsi" w:hAnsiTheme="minorHAnsi" w:cstheme="minorHAnsi"/>
        </w:rPr>
        <w:br/>
      </w:r>
      <w:r w:rsidR="0064716B" w:rsidRPr="00D24E70">
        <w:rPr>
          <w:rFonts w:asciiTheme="minorHAnsi" w:eastAsia="Times New Roman" w:hAnsiTheme="minorHAnsi" w:cstheme="minorHAnsi"/>
          <w:lang w:eastAsia="cs-CZ"/>
        </w:rPr>
        <w:t>Tato rámcová kupní smlouva je uzavřena na dobu určitou, a to s platností na 12 měsíců ode dne podpisu, s maximálním finančním plněním celkem do 400.000,- Kč bez DPH.</w:t>
      </w:r>
      <w:r w:rsidR="00183194" w:rsidRPr="00D24E70">
        <w:rPr>
          <w:rFonts w:asciiTheme="minorHAnsi" w:eastAsia="Times New Roman" w:hAnsiTheme="minorHAnsi" w:cstheme="minorHAnsi"/>
          <w:lang w:eastAsia="cs-CZ"/>
        </w:rPr>
        <w:t xml:space="preserve"> </w:t>
      </w:r>
      <w:r w:rsidR="009F6682" w:rsidRPr="00D24E70">
        <w:rPr>
          <w:rFonts w:asciiTheme="minorHAnsi" w:hAnsiTheme="minorHAnsi" w:cs="Arial"/>
        </w:rPr>
        <w:t>Smluvní strany se dohodly na kupní ceně</w:t>
      </w:r>
      <w:r w:rsidR="009F6682" w:rsidRPr="005E7855">
        <w:rPr>
          <w:rFonts w:asciiTheme="minorHAnsi" w:hAnsiTheme="minorHAnsi" w:cs="Arial"/>
        </w:rPr>
        <w:t xml:space="preserve"> uvedené</w:t>
      </w:r>
      <w:r w:rsidR="009F6682">
        <w:rPr>
          <w:rFonts w:asciiTheme="minorHAnsi" w:hAnsiTheme="minorHAnsi" w:cs="Arial"/>
        </w:rPr>
        <w:t xml:space="preserve"> položkově</w:t>
      </w:r>
      <w:r w:rsidR="009F6682" w:rsidRPr="005E7855">
        <w:rPr>
          <w:rFonts w:asciiTheme="minorHAnsi" w:hAnsiTheme="minorHAnsi" w:cs="Arial"/>
        </w:rPr>
        <w:t xml:space="preserve"> v předmětu plnění.</w:t>
      </w:r>
      <w:r w:rsidR="009F6682">
        <w:rPr>
          <w:rFonts w:asciiTheme="minorHAnsi" w:hAnsiTheme="minorHAnsi" w:cs="Arial"/>
        </w:rPr>
        <w:t xml:space="preserve"> </w:t>
      </w:r>
      <w:r w:rsidRPr="009F6682">
        <w:rPr>
          <w:rFonts w:asciiTheme="minorHAnsi" w:hAnsiTheme="minorHAnsi" w:cstheme="minorHAnsi"/>
        </w:rPr>
        <w:t xml:space="preserve">Na tuto cenu bude prodávajícím vystavena faktura se splatností </w:t>
      </w:r>
      <w:r w:rsidR="00931CD3" w:rsidRPr="009F6682">
        <w:rPr>
          <w:rFonts w:asciiTheme="minorHAnsi" w:hAnsiTheme="minorHAnsi" w:cstheme="minorHAnsi"/>
        </w:rPr>
        <w:t>3</w:t>
      </w:r>
      <w:r w:rsidR="0033668C" w:rsidRPr="009F6682">
        <w:rPr>
          <w:rFonts w:asciiTheme="minorHAnsi" w:hAnsiTheme="minorHAnsi" w:cstheme="minorHAnsi"/>
        </w:rPr>
        <w:t>0</w:t>
      </w:r>
      <w:r w:rsidRPr="009F6682">
        <w:rPr>
          <w:rFonts w:asciiTheme="minorHAnsi" w:hAnsiTheme="minorHAnsi" w:cstheme="minorHAnsi"/>
        </w:rPr>
        <w:t xml:space="preserve"> </w:t>
      </w:r>
      <w:r w:rsidR="0033668C" w:rsidRPr="009F6682">
        <w:rPr>
          <w:rFonts w:asciiTheme="minorHAnsi" w:hAnsiTheme="minorHAnsi" w:cstheme="minorHAnsi"/>
        </w:rPr>
        <w:t>dnů</w:t>
      </w:r>
      <w:r w:rsidR="0001048C" w:rsidRPr="009F6682">
        <w:rPr>
          <w:rFonts w:asciiTheme="minorHAnsi" w:hAnsiTheme="minorHAnsi" w:cstheme="minorHAnsi"/>
        </w:rPr>
        <w:t>, dle dílčí objednávky</w:t>
      </w:r>
      <w:r w:rsidRPr="009F6682">
        <w:rPr>
          <w:rFonts w:asciiTheme="minorHAnsi" w:hAnsiTheme="minorHAnsi" w:cstheme="minorHAnsi"/>
        </w:rPr>
        <w:t>.</w:t>
      </w:r>
    </w:p>
    <w:p w14:paraId="7AFFB626" w14:textId="77777777" w:rsidR="005E7855" w:rsidRPr="009F6682" w:rsidRDefault="005E7855" w:rsidP="00DF6904">
      <w:pPr>
        <w:jc w:val="center"/>
        <w:rPr>
          <w:rFonts w:asciiTheme="minorHAnsi" w:hAnsiTheme="minorHAnsi" w:cstheme="minorHAnsi"/>
        </w:rPr>
      </w:pPr>
    </w:p>
    <w:p w14:paraId="5BB2C221" w14:textId="77777777" w:rsidR="00594093" w:rsidRDefault="00594093" w:rsidP="009F6682">
      <w:pPr>
        <w:rPr>
          <w:rFonts w:asciiTheme="minorHAnsi" w:hAnsiTheme="minorHAnsi" w:cs="Arial"/>
          <w:b/>
          <w:bCs/>
        </w:rPr>
      </w:pPr>
    </w:p>
    <w:p w14:paraId="73CE58EE" w14:textId="77777777" w:rsidR="00DF6904" w:rsidRPr="005E7855" w:rsidRDefault="00EE14B7" w:rsidP="00DF6904">
      <w:pPr>
        <w:jc w:val="center"/>
        <w:rPr>
          <w:rFonts w:asciiTheme="minorHAnsi" w:hAnsiTheme="minorHAnsi" w:cs="Arial"/>
          <w:b/>
          <w:bCs/>
        </w:rPr>
      </w:pPr>
      <w:r w:rsidRPr="005E7855">
        <w:rPr>
          <w:rFonts w:asciiTheme="minorHAnsi" w:hAnsiTheme="minorHAnsi" w:cs="Arial"/>
          <w:b/>
          <w:bCs/>
        </w:rPr>
        <w:t>IV.</w:t>
      </w:r>
    </w:p>
    <w:p w14:paraId="4E36A6B5" w14:textId="77777777" w:rsidR="005E7855" w:rsidRPr="005E7855" w:rsidRDefault="00EE14B7" w:rsidP="005E7855">
      <w:pPr>
        <w:jc w:val="center"/>
        <w:rPr>
          <w:rFonts w:asciiTheme="minorHAnsi" w:hAnsiTheme="minorHAnsi" w:cs="Arial"/>
          <w:b/>
          <w:bCs/>
        </w:rPr>
      </w:pPr>
      <w:r w:rsidRPr="005E7855">
        <w:rPr>
          <w:rFonts w:asciiTheme="minorHAnsi" w:hAnsiTheme="minorHAnsi" w:cs="Arial"/>
          <w:b/>
          <w:bCs/>
        </w:rPr>
        <w:t>Fakturace</w:t>
      </w:r>
    </w:p>
    <w:p w14:paraId="21A65E86" w14:textId="77777777" w:rsidR="00DF6904" w:rsidRPr="005E7855" w:rsidRDefault="00EE14B7" w:rsidP="005E7855">
      <w:pPr>
        <w:jc w:val="both"/>
        <w:rPr>
          <w:rFonts w:asciiTheme="minorHAnsi" w:hAnsiTheme="minorHAnsi" w:cs="Arial"/>
        </w:rPr>
      </w:pPr>
      <w:r w:rsidRPr="005E7855">
        <w:rPr>
          <w:rFonts w:asciiTheme="minorHAnsi" w:hAnsiTheme="minorHAnsi" w:cs="Arial"/>
        </w:rPr>
        <w:br/>
      </w:r>
      <w:r w:rsidR="00DF6904" w:rsidRPr="005E7855">
        <w:rPr>
          <w:rFonts w:asciiTheme="minorHAnsi" w:hAnsiTheme="minorHAnsi" w:cs="Arial"/>
        </w:rPr>
        <w:t>Kupní cenu včetně DPH prodávající kupujícímu fakturuje. Závazek kupujícího zaplatit kupní cenu je splněn připsáním fakturované částky ve lhůtě splatnosti na účet prodávajícího. V případě prodlení kupujícího se zaplacením faktury je kupující povinen zaplatit smluvní úrok ve výši 0,05 % z dlužné částky za každý den prodlení.</w:t>
      </w:r>
    </w:p>
    <w:p w14:paraId="0684FC52" w14:textId="77777777" w:rsidR="00DF6904" w:rsidRPr="005E7855" w:rsidRDefault="00DF6904" w:rsidP="005E7855">
      <w:pPr>
        <w:jc w:val="center"/>
        <w:rPr>
          <w:rFonts w:asciiTheme="minorHAnsi" w:hAnsiTheme="minorHAnsi" w:cs="Arial"/>
          <w:b/>
          <w:bCs/>
        </w:rPr>
      </w:pPr>
      <w:r w:rsidRPr="005E7855">
        <w:rPr>
          <w:rFonts w:asciiTheme="minorHAnsi" w:hAnsiTheme="minorHAnsi" w:cs="Arial"/>
        </w:rPr>
        <w:lastRenderedPageBreak/>
        <w:br/>
      </w:r>
      <w:r w:rsidR="00EE14B7" w:rsidRPr="005E7855">
        <w:rPr>
          <w:rFonts w:asciiTheme="minorHAnsi" w:hAnsiTheme="minorHAnsi" w:cs="Arial"/>
        </w:rPr>
        <w:br/>
      </w:r>
      <w:r w:rsidR="00EE14B7" w:rsidRPr="005E7855">
        <w:rPr>
          <w:rFonts w:asciiTheme="minorHAnsi" w:hAnsiTheme="minorHAnsi" w:cs="Arial"/>
          <w:b/>
          <w:bCs/>
        </w:rPr>
        <w:t>V.</w:t>
      </w:r>
    </w:p>
    <w:p w14:paraId="36D08DC3" w14:textId="77777777" w:rsidR="005E7855" w:rsidRDefault="00EE14B7" w:rsidP="005E7855">
      <w:pPr>
        <w:jc w:val="center"/>
        <w:rPr>
          <w:rFonts w:asciiTheme="minorHAnsi" w:hAnsiTheme="minorHAnsi" w:cs="Arial"/>
        </w:rPr>
      </w:pPr>
      <w:r w:rsidRPr="005E7855">
        <w:rPr>
          <w:rFonts w:asciiTheme="minorHAnsi" w:hAnsiTheme="minorHAnsi" w:cs="Arial"/>
          <w:b/>
          <w:bCs/>
        </w:rPr>
        <w:t>Odpovědnost za vady</w:t>
      </w:r>
    </w:p>
    <w:p w14:paraId="79DB3F9D" w14:textId="7D1200FC" w:rsidR="00EE14B7" w:rsidRPr="005E7855" w:rsidRDefault="00EE14B7" w:rsidP="005E7855">
      <w:pPr>
        <w:jc w:val="both"/>
        <w:rPr>
          <w:rFonts w:asciiTheme="minorHAnsi" w:hAnsiTheme="minorHAnsi" w:cs="Arial"/>
        </w:rPr>
      </w:pPr>
      <w:r w:rsidRPr="005E7855">
        <w:rPr>
          <w:rFonts w:asciiTheme="minorHAnsi" w:hAnsiTheme="minorHAnsi" w:cs="Arial"/>
        </w:rPr>
        <w:br/>
        <w:t xml:space="preserve">Prodávající odpovídá za vady </w:t>
      </w:r>
      <w:r w:rsidR="0001048C">
        <w:rPr>
          <w:rFonts w:asciiTheme="minorHAnsi" w:hAnsiTheme="minorHAnsi" w:cs="Arial"/>
        </w:rPr>
        <w:t>zboží</w:t>
      </w:r>
      <w:r w:rsidRPr="005E7855">
        <w:rPr>
          <w:rFonts w:asciiTheme="minorHAnsi" w:hAnsiTheme="minorHAnsi" w:cs="Arial"/>
        </w:rPr>
        <w:t xml:space="preserve"> v okamžiku přechodu nebezpečí škody na kupujícího podle této smlouvy. Kupující je povinen prohlédnout </w:t>
      </w:r>
      <w:r w:rsidR="00FD6827">
        <w:rPr>
          <w:rFonts w:asciiTheme="minorHAnsi" w:hAnsiTheme="minorHAnsi" w:cs="Arial"/>
        </w:rPr>
        <w:t>zboží</w:t>
      </w:r>
      <w:r w:rsidRPr="005E7855">
        <w:rPr>
          <w:rFonts w:asciiTheme="minorHAnsi" w:hAnsiTheme="minorHAnsi" w:cs="Arial"/>
        </w:rPr>
        <w:t xml:space="preserve"> co nejdříve po převzetí a reklamovat zjevné vady zboží ihned a skryté vady bez zbytečného odkladu bezprostředně poté, co je zjistil. V případě oprávněné reklamace poskytne prodávající bezvadné plnění. V případě neodstranitelné vady a nemožnosti poskytnout bezvadné plnění vrátí prodávající kupujícímu kupní cenu do 1 měsíce po převzetí </w:t>
      </w:r>
      <w:r w:rsidR="00FD6827">
        <w:rPr>
          <w:rFonts w:asciiTheme="minorHAnsi" w:hAnsiTheme="minorHAnsi" w:cs="Arial"/>
        </w:rPr>
        <w:t>zboží</w:t>
      </w:r>
      <w:r w:rsidRPr="005E7855">
        <w:rPr>
          <w:rFonts w:asciiTheme="minorHAnsi" w:hAnsiTheme="minorHAnsi" w:cs="Arial"/>
        </w:rPr>
        <w:t xml:space="preserve"> v záruční době zpět.</w:t>
      </w:r>
    </w:p>
    <w:p w14:paraId="6B2458B4" w14:textId="32DA8732" w:rsidR="00EE14B7" w:rsidRPr="005E7855" w:rsidRDefault="00FD6827" w:rsidP="005E7855">
      <w:pPr>
        <w:jc w:val="both"/>
        <w:rPr>
          <w:rFonts w:asciiTheme="minorHAnsi" w:hAnsiTheme="minorHAnsi" w:cs="Arial"/>
        </w:rPr>
      </w:pPr>
      <w:r>
        <w:rPr>
          <w:rFonts w:asciiTheme="minorHAnsi" w:hAnsiTheme="minorHAnsi" w:cs="Arial"/>
        </w:rPr>
        <w:t>Na živné půdy je poskytována záruka dle expirace uvedené na obalu (minimálně však 1 rok nebo 6 měsíců v případě suplementů).</w:t>
      </w:r>
    </w:p>
    <w:p w14:paraId="6C6BD62B" w14:textId="77777777" w:rsidR="00DF6904" w:rsidRPr="005E7855" w:rsidRDefault="00EE14B7" w:rsidP="00DF6904">
      <w:pPr>
        <w:jc w:val="center"/>
        <w:rPr>
          <w:rFonts w:asciiTheme="minorHAnsi" w:hAnsiTheme="minorHAnsi" w:cs="Arial"/>
          <w:b/>
          <w:bCs/>
        </w:rPr>
      </w:pPr>
      <w:r w:rsidRPr="005E7855">
        <w:rPr>
          <w:rFonts w:asciiTheme="minorHAnsi" w:hAnsiTheme="minorHAnsi" w:cs="Arial"/>
        </w:rPr>
        <w:br/>
      </w:r>
      <w:r w:rsidRPr="005E7855">
        <w:rPr>
          <w:rFonts w:asciiTheme="minorHAnsi" w:hAnsiTheme="minorHAnsi" w:cs="Arial"/>
        </w:rPr>
        <w:br/>
      </w:r>
      <w:r w:rsidRPr="005E7855">
        <w:rPr>
          <w:rFonts w:asciiTheme="minorHAnsi" w:hAnsiTheme="minorHAnsi" w:cs="Arial"/>
          <w:b/>
          <w:bCs/>
        </w:rPr>
        <w:t xml:space="preserve">VI. </w:t>
      </w:r>
    </w:p>
    <w:p w14:paraId="0004154E" w14:textId="77777777" w:rsidR="00DF6904" w:rsidRPr="005E7855" w:rsidRDefault="00EE14B7" w:rsidP="00DF6904">
      <w:pPr>
        <w:jc w:val="center"/>
        <w:rPr>
          <w:rFonts w:asciiTheme="minorHAnsi" w:hAnsiTheme="minorHAnsi" w:cs="Arial"/>
        </w:rPr>
      </w:pPr>
      <w:r w:rsidRPr="005E7855">
        <w:rPr>
          <w:rFonts w:asciiTheme="minorHAnsi" w:hAnsiTheme="minorHAnsi" w:cs="Arial"/>
          <w:b/>
          <w:bCs/>
        </w:rPr>
        <w:t>Závěrečná ustanovení</w:t>
      </w:r>
    </w:p>
    <w:p w14:paraId="37B1F12E" w14:textId="77777777" w:rsidR="005E7855" w:rsidRPr="005E7855" w:rsidRDefault="00EE14B7" w:rsidP="005E7855">
      <w:pPr>
        <w:jc w:val="both"/>
        <w:rPr>
          <w:rFonts w:asciiTheme="minorHAnsi" w:hAnsiTheme="minorHAnsi"/>
        </w:rPr>
      </w:pPr>
      <w:r w:rsidRPr="005E7855">
        <w:rPr>
          <w:rFonts w:asciiTheme="minorHAnsi" w:hAnsiTheme="minorHAnsi" w:cs="Arial"/>
        </w:rPr>
        <w:br/>
      </w:r>
      <w:r w:rsidR="005E7855" w:rsidRPr="005E7855">
        <w:rPr>
          <w:rFonts w:asciiTheme="minorHAnsi" w:hAnsiTheme="minorHAnsi"/>
        </w:rPr>
        <w:t>Není-li stanoveno jinak, řídí se vztahy mezi prodávajícím a kupujícím příslušnými ustanoveními Občanského zákoníku č. 89/2012 Sb. v platném znění. Změny a dodatky k této smlouvě budou činěny písemně po vzájemné dohodě smluvních stran. Pokud by se jednotlivá ustanovení této smlouvy ukázala být neúčinnými, bude jejich znění nahrazeno novým ustanovením. Tímto však není dotčena platnost smlouvy jako celku.</w:t>
      </w:r>
    </w:p>
    <w:p w14:paraId="71BE14EC" w14:textId="1E8CD040" w:rsidR="000B3E65" w:rsidRPr="005E7855" w:rsidRDefault="000B3E65" w:rsidP="005E7855">
      <w:pPr>
        <w:jc w:val="both"/>
        <w:rPr>
          <w:rFonts w:asciiTheme="minorHAnsi" w:hAnsiTheme="minorHAnsi"/>
        </w:rPr>
      </w:pPr>
      <w:r w:rsidRPr="00D24E70">
        <w:rPr>
          <w:rFonts w:asciiTheme="minorHAnsi" w:hAnsiTheme="minorHAnsi"/>
        </w:rPr>
        <w:t xml:space="preserve">Tato smlouva nabývá platnosti dnem podpisu oběma smluvními stranami a účinnosti dnem zveřejnění v registru smluv. </w:t>
      </w:r>
    </w:p>
    <w:p w14:paraId="0790A598" w14:textId="0BE4A10A" w:rsidR="00DF6904" w:rsidRPr="005E7855" w:rsidRDefault="00EE14B7" w:rsidP="00DF6904">
      <w:pPr>
        <w:jc w:val="both"/>
        <w:rPr>
          <w:rFonts w:asciiTheme="minorHAnsi" w:hAnsiTheme="minorHAnsi" w:cs="Arial"/>
        </w:rPr>
      </w:pPr>
      <w:r w:rsidRPr="005E7855">
        <w:rPr>
          <w:rFonts w:asciiTheme="minorHAnsi" w:hAnsiTheme="minorHAnsi" w:cs="Arial"/>
        </w:rPr>
        <w:br/>
      </w:r>
    </w:p>
    <w:p w14:paraId="797DE8E9" w14:textId="77777777" w:rsidR="009F6682" w:rsidRPr="00993547" w:rsidRDefault="00DF6904" w:rsidP="00DF6904">
      <w:pPr>
        <w:rPr>
          <w:rFonts w:ascii="Times New Roman" w:eastAsia="Times New Roman" w:hAnsi="Times New Roman"/>
          <w:i/>
          <w:iCs/>
          <w:color w:val="000000"/>
          <w:sz w:val="16"/>
          <w:szCs w:val="16"/>
          <w:lang w:eastAsia="cs-CZ"/>
        </w:rPr>
      </w:pPr>
      <w:r w:rsidRPr="00993547">
        <w:rPr>
          <w:rFonts w:asciiTheme="minorHAnsi" w:hAnsiTheme="minorHAnsi" w:cs="Arial"/>
        </w:rPr>
        <w:t>Datum a místo:        </w:t>
      </w:r>
      <w:r w:rsidR="004A738B" w:rsidRPr="00993547">
        <w:rPr>
          <w:rFonts w:asciiTheme="minorHAnsi" w:hAnsiTheme="minorHAnsi" w:cs="Arial"/>
        </w:rPr>
        <w:t>V</w:t>
      </w:r>
      <w:r w:rsidR="009F6682" w:rsidRPr="00993547">
        <w:rPr>
          <w:rFonts w:asciiTheme="minorHAnsi" w:hAnsiTheme="minorHAnsi" w:cs="Arial"/>
        </w:rPr>
        <w:t> </w:t>
      </w:r>
      <w:r w:rsidR="004A738B" w:rsidRPr="00993547">
        <w:rPr>
          <w:rFonts w:asciiTheme="minorHAnsi" w:hAnsiTheme="minorHAnsi" w:cs="Arial"/>
        </w:rPr>
        <w:t>Praze</w:t>
      </w:r>
      <w:r w:rsidR="009F6682" w:rsidRPr="00993547">
        <w:rPr>
          <w:rFonts w:asciiTheme="minorHAnsi" w:hAnsiTheme="minorHAnsi" w:cs="Arial"/>
        </w:rPr>
        <w:t>,</w:t>
      </w:r>
      <w:r w:rsidR="004A738B" w:rsidRPr="00993547">
        <w:rPr>
          <w:rFonts w:asciiTheme="minorHAnsi" w:hAnsiTheme="minorHAnsi" w:cs="Arial"/>
        </w:rPr>
        <w:t xml:space="preserve"> dne</w:t>
      </w:r>
      <w:r w:rsidR="009F6682" w:rsidRPr="00993547">
        <w:rPr>
          <w:rFonts w:asciiTheme="minorHAnsi" w:hAnsiTheme="minorHAnsi" w:cs="Arial"/>
        </w:rPr>
        <w:t xml:space="preserve"> </w:t>
      </w:r>
      <w:r w:rsidR="009F6682" w:rsidRPr="00993547">
        <w:rPr>
          <w:rFonts w:ascii="Times New Roman" w:eastAsia="Times New Roman" w:hAnsi="Times New Roman"/>
          <w:i/>
          <w:iCs/>
          <w:color w:val="000000"/>
          <w:sz w:val="16"/>
          <w:szCs w:val="16"/>
          <w:lang w:eastAsia="cs-CZ"/>
        </w:rPr>
        <w:t>(viz datum elektr. podpisu)</w:t>
      </w:r>
      <w:r w:rsidR="004A738B" w:rsidRPr="00993547">
        <w:rPr>
          <w:rFonts w:asciiTheme="minorHAnsi" w:hAnsiTheme="minorHAnsi" w:cs="Arial"/>
        </w:rPr>
        <w:tab/>
      </w:r>
      <w:r w:rsidR="004A738B" w:rsidRPr="00993547">
        <w:rPr>
          <w:rFonts w:asciiTheme="minorHAnsi" w:hAnsiTheme="minorHAnsi" w:cs="Arial"/>
        </w:rPr>
        <w:tab/>
      </w:r>
      <w:r w:rsidR="004674BB" w:rsidRPr="00993547">
        <w:rPr>
          <w:rFonts w:asciiTheme="minorHAnsi" w:hAnsiTheme="minorHAnsi" w:cs="Arial"/>
        </w:rPr>
        <w:t>V</w:t>
      </w:r>
      <w:r w:rsidR="009F6682" w:rsidRPr="00993547">
        <w:rPr>
          <w:rFonts w:asciiTheme="minorHAnsi" w:hAnsiTheme="minorHAnsi" w:cs="Arial"/>
        </w:rPr>
        <w:t> </w:t>
      </w:r>
      <w:r w:rsidR="00FD6827" w:rsidRPr="00993547">
        <w:rPr>
          <w:rFonts w:asciiTheme="minorHAnsi" w:hAnsiTheme="minorHAnsi" w:cs="Arial"/>
        </w:rPr>
        <w:t>Praze</w:t>
      </w:r>
      <w:r w:rsidR="009F6682" w:rsidRPr="00993547">
        <w:rPr>
          <w:rFonts w:asciiTheme="minorHAnsi" w:hAnsiTheme="minorHAnsi" w:cs="Arial"/>
        </w:rPr>
        <w:t>,</w:t>
      </w:r>
      <w:r w:rsidR="004674BB" w:rsidRPr="00993547">
        <w:rPr>
          <w:rFonts w:asciiTheme="minorHAnsi" w:hAnsiTheme="minorHAnsi" w:cs="Arial"/>
        </w:rPr>
        <w:t xml:space="preserve"> dne</w:t>
      </w:r>
      <w:r w:rsidR="009F6682" w:rsidRPr="00993547">
        <w:rPr>
          <w:rFonts w:asciiTheme="minorHAnsi" w:hAnsiTheme="minorHAnsi" w:cs="Arial"/>
        </w:rPr>
        <w:t xml:space="preserve"> </w:t>
      </w:r>
      <w:r w:rsidR="009F6682" w:rsidRPr="00993547">
        <w:rPr>
          <w:rFonts w:ascii="Times New Roman" w:eastAsia="Times New Roman" w:hAnsi="Times New Roman"/>
          <w:i/>
          <w:iCs/>
          <w:color w:val="000000"/>
          <w:sz w:val="16"/>
          <w:szCs w:val="16"/>
          <w:lang w:eastAsia="cs-CZ"/>
        </w:rPr>
        <w:t>(viz datum elektr. podpisu)</w:t>
      </w:r>
    </w:p>
    <w:p w14:paraId="532D7B5B" w14:textId="6E563C9C" w:rsidR="005E7855" w:rsidRPr="00993547" w:rsidRDefault="00DF6904" w:rsidP="00DF6904">
      <w:pPr>
        <w:rPr>
          <w:rFonts w:asciiTheme="minorHAnsi" w:hAnsiTheme="minorHAnsi" w:cs="Arial"/>
        </w:rPr>
      </w:pPr>
      <w:r w:rsidRPr="00993547">
        <w:rPr>
          <w:rFonts w:asciiTheme="minorHAnsi" w:hAnsiTheme="minorHAnsi" w:cs="Arial"/>
        </w:rPr>
        <w:br/>
        <w:t xml:space="preserve">                                   Za prodávajícího:</w:t>
      </w:r>
      <w:r w:rsidR="004674BB" w:rsidRPr="00993547">
        <w:rPr>
          <w:rFonts w:asciiTheme="minorHAnsi" w:hAnsiTheme="minorHAnsi" w:cs="Arial"/>
        </w:rPr>
        <w:t xml:space="preserve"> </w:t>
      </w:r>
      <w:r w:rsidR="004A738B" w:rsidRPr="00993547">
        <w:rPr>
          <w:rFonts w:asciiTheme="minorHAnsi" w:hAnsiTheme="minorHAnsi" w:cs="Arial"/>
        </w:rPr>
        <w:t>Ondřej Schejbal</w:t>
      </w:r>
      <w:r w:rsidR="004674BB" w:rsidRPr="00993547">
        <w:rPr>
          <w:rFonts w:asciiTheme="minorHAnsi" w:hAnsiTheme="minorHAnsi" w:cs="Arial"/>
        </w:rPr>
        <w:tab/>
      </w:r>
      <w:r w:rsidR="008D7036" w:rsidRPr="00993547">
        <w:rPr>
          <w:rFonts w:asciiTheme="minorHAnsi" w:hAnsiTheme="minorHAnsi" w:cs="Arial"/>
        </w:rPr>
        <w:tab/>
      </w:r>
      <w:r w:rsidRPr="00993547">
        <w:rPr>
          <w:rFonts w:asciiTheme="minorHAnsi" w:hAnsiTheme="minorHAnsi" w:cs="Arial"/>
        </w:rPr>
        <w:t>Za kupujícího:</w:t>
      </w:r>
      <w:r w:rsidR="00FD6827" w:rsidRPr="00993547">
        <w:rPr>
          <w:rFonts w:asciiTheme="minorHAnsi" w:hAnsiTheme="minorHAnsi" w:cs="Arial"/>
        </w:rPr>
        <w:t xml:space="preserve"> MVDr. Kamil Sedlák, Ph.D.</w:t>
      </w:r>
    </w:p>
    <w:p w14:paraId="320D82CC" w14:textId="0DA30474" w:rsidR="009F6682" w:rsidRDefault="009F6682" w:rsidP="00DF6904">
      <w:pPr>
        <w:rPr>
          <w:rFonts w:asciiTheme="minorHAnsi" w:hAnsiTheme="minorHAnsi" w:cs="Arial"/>
        </w:rPr>
      </w:pPr>
      <w:r w:rsidRPr="00993547">
        <w:rPr>
          <w:rFonts w:asciiTheme="minorHAnsi" w:hAnsiTheme="minorHAnsi" w:cs="Arial"/>
        </w:rPr>
        <w:tab/>
      </w:r>
      <w:r w:rsidRPr="00993547">
        <w:rPr>
          <w:rFonts w:asciiTheme="minorHAnsi" w:hAnsiTheme="minorHAnsi" w:cs="Arial"/>
        </w:rPr>
        <w:tab/>
        <w:t xml:space="preserve">       jednatel NOACK ČR, spol. s r.o.</w:t>
      </w:r>
      <w:r w:rsidRPr="00993547">
        <w:rPr>
          <w:rFonts w:asciiTheme="minorHAnsi" w:hAnsiTheme="minorHAnsi" w:cs="Arial"/>
        </w:rPr>
        <w:tab/>
      </w:r>
      <w:r w:rsidRPr="00993547">
        <w:rPr>
          <w:rFonts w:asciiTheme="minorHAnsi" w:hAnsiTheme="minorHAnsi" w:cs="Arial"/>
        </w:rPr>
        <w:tab/>
        <w:t>ředitel SVÚ Praha</w:t>
      </w:r>
      <w:r>
        <w:rPr>
          <w:rFonts w:asciiTheme="minorHAnsi" w:hAnsiTheme="minorHAnsi" w:cs="Arial"/>
        </w:rPr>
        <w:t xml:space="preserve"> </w:t>
      </w:r>
    </w:p>
    <w:p w14:paraId="158CF0D1" w14:textId="77777777" w:rsidR="00183194" w:rsidRDefault="00183194" w:rsidP="00DF6904">
      <w:pPr>
        <w:rPr>
          <w:rFonts w:asciiTheme="minorHAnsi" w:hAnsiTheme="minorHAnsi" w:cs="Arial"/>
        </w:rPr>
      </w:pPr>
    </w:p>
    <w:p w14:paraId="4B12BD13" w14:textId="77777777" w:rsidR="00183194" w:rsidRDefault="00183194" w:rsidP="00DF6904">
      <w:pPr>
        <w:rPr>
          <w:rFonts w:asciiTheme="minorHAnsi" w:hAnsiTheme="minorHAnsi" w:cs="Arial"/>
        </w:rPr>
      </w:pPr>
    </w:p>
    <w:p w14:paraId="519235C9" w14:textId="77777777" w:rsidR="00183194" w:rsidRDefault="00183194" w:rsidP="00DF6904">
      <w:pPr>
        <w:rPr>
          <w:rFonts w:asciiTheme="minorHAnsi" w:hAnsiTheme="minorHAnsi" w:cs="Arial"/>
        </w:rPr>
      </w:pPr>
    </w:p>
    <w:p w14:paraId="1C5BB659" w14:textId="77777777" w:rsidR="00183194" w:rsidRDefault="00183194" w:rsidP="00DF6904">
      <w:pPr>
        <w:rPr>
          <w:rFonts w:asciiTheme="minorHAnsi" w:hAnsiTheme="minorHAnsi" w:cs="Arial"/>
        </w:rPr>
      </w:pPr>
    </w:p>
    <w:p w14:paraId="0F95DFA1" w14:textId="77777777" w:rsidR="00A96944" w:rsidRDefault="00A96944" w:rsidP="00DF6904">
      <w:pPr>
        <w:rPr>
          <w:rFonts w:asciiTheme="minorHAnsi" w:hAnsiTheme="minorHAnsi" w:cs="Arial"/>
        </w:rPr>
      </w:pPr>
    </w:p>
    <w:p w14:paraId="30DD82CB" w14:textId="77777777" w:rsidR="00A96944" w:rsidRDefault="00A96944" w:rsidP="00DF6904">
      <w:pPr>
        <w:rPr>
          <w:rFonts w:asciiTheme="minorHAnsi" w:hAnsiTheme="minorHAnsi" w:cs="Arial"/>
        </w:rPr>
      </w:pPr>
    </w:p>
    <w:p w14:paraId="70864616" w14:textId="77777777" w:rsidR="00183194" w:rsidRDefault="00183194" w:rsidP="00DF6904">
      <w:pPr>
        <w:rPr>
          <w:rFonts w:asciiTheme="minorHAnsi" w:hAnsiTheme="minorHAnsi" w:cs="Arial"/>
        </w:rPr>
      </w:pPr>
    </w:p>
    <w:p w14:paraId="12E2224F" w14:textId="5B5A51AD" w:rsidR="00DF6904" w:rsidRPr="005E7855" w:rsidRDefault="00DF6904" w:rsidP="00DF6904">
      <w:pPr>
        <w:rPr>
          <w:rFonts w:asciiTheme="minorHAnsi" w:hAnsiTheme="minorHAnsi" w:cs="Arial"/>
        </w:rPr>
      </w:pPr>
      <w:r w:rsidRPr="005E7855">
        <w:rPr>
          <w:rFonts w:asciiTheme="minorHAnsi" w:hAnsiTheme="minorHAnsi" w:cs="Arial"/>
        </w:rPr>
        <w:br/>
        <w:t>Podpisy:                    </w:t>
      </w:r>
      <w:bookmarkStart w:id="0" w:name="_Hlk184211883"/>
      <w:r w:rsidRPr="005E7855">
        <w:rPr>
          <w:rFonts w:asciiTheme="minorHAnsi" w:hAnsiTheme="minorHAnsi" w:cs="Arial"/>
        </w:rPr>
        <w:t>..............................</w:t>
      </w:r>
      <w:r w:rsidR="00183194">
        <w:rPr>
          <w:rFonts w:asciiTheme="minorHAnsi" w:hAnsiTheme="minorHAnsi" w:cs="Arial"/>
        </w:rPr>
        <w:t>......</w:t>
      </w:r>
      <w:r w:rsidRPr="005E7855">
        <w:rPr>
          <w:rFonts w:asciiTheme="minorHAnsi" w:hAnsiTheme="minorHAnsi" w:cs="Arial"/>
        </w:rPr>
        <w:t>..........</w:t>
      </w:r>
      <w:r w:rsidR="009F6682">
        <w:rPr>
          <w:rFonts w:asciiTheme="minorHAnsi" w:hAnsiTheme="minorHAnsi" w:cs="Arial"/>
        </w:rPr>
        <w:t>...</w:t>
      </w:r>
      <w:r w:rsidRPr="005E7855">
        <w:rPr>
          <w:rFonts w:asciiTheme="minorHAnsi" w:hAnsiTheme="minorHAnsi" w:cs="Arial"/>
        </w:rPr>
        <w:t>..... </w:t>
      </w:r>
      <w:bookmarkEnd w:id="0"/>
      <w:r w:rsidR="004A738B">
        <w:rPr>
          <w:rFonts w:asciiTheme="minorHAnsi" w:hAnsiTheme="minorHAnsi" w:cs="Arial"/>
        </w:rPr>
        <w:t>                   </w:t>
      </w:r>
      <w:r w:rsidRPr="005E7855">
        <w:rPr>
          <w:rFonts w:asciiTheme="minorHAnsi" w:hAnsiTheme="minorHAnsi" w:cs="Arial"/>
        </w:rPr>
        <w:t>.....................</w:t>
      </w:r>
      <w:r w:rsidR="00183194">
        <w:rPr>
          <w:rFonts w:asciiTheme="minorHAnsi" w:hAnsiTheme="minorHAnsi" w:cs="Arial"/>
        </w:rPr>
        <w:t>.............</w:t>
      </w:r>
      <w:r w:rsidRPr="005E7855">
        <w:rPr>
          <w:rFonts w:asciiTheme="minorHAnsi" w:hAnsiTheme="minorHAnsi" w:cs="Arial"/>
        </w:rPr>
        <w:t>........................</w:t>
      </w:r>
    </w:p>
    <w:sectPr w:rsidR="00DF6904" w:rsidRPr="005E7855" w:rsidSect="000F225D">
      <w:headerReference w:type="default" r:id="rId7"/>
      <w:footerReference w:type="default" r:id="rId8"/>
      <w:pgSz w:w="11906" w:h="16838"/>
      <w:pgMar w:top="28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26822" w14:textId="77777777" w:rsidR="00842305" w:rsidRDefault="00842305" w:rsidP="00E665F8">
      <w:pPr>
        <w:spacing w:line="240" w:lineRule="auto"/>
      </w:pPr>
      <w:r>
        <w:separator/>
      </w:r>
    </w:p>
  </w:endnote>
  <w:endnote w:type="continuationSeparator" w:id="0">
    <w:p w14:paraId="2C9BBE94" w14:textId="77777777" w:rsidR="00842305" w:rsidRDefault="00842305" w:rsidP="00E665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utura">
    <w:altName w:val="Lucida Sans Unicode"/>
    <w:charset w:val="00"/>
    <w:family w:val="swiss"/>
    <w:pitch w:val="variable"/>
    <w:sig w:usb0="00000003" w:usb1="00000000" w:usb2="00000000" w:usb3="00000000" w:csb0="00000001" w:csb1="00000000"/>
  </w:font>
  <w:font w:name="Futura Bk BT">
    <w:altName w:val="Segoe UI"/>
    <w:charset w:val="00"/>
    <w:family w:val="swiss"/>
    <w:pitch w:val="variable"/>
    <w:sig w:usb0="00000001"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9630E" w14:textId="77777777" w:rsidR="00DA3DF7" w:rsidRDefault="00DA3DF7" w:rsidP="00DA3DF7">
    <w:pPr>
      <w:pStyle w:val="Zpat"/>
      <w:jc w:val="both"/>
      <w:rPr>
        <w:rFonts w:cs="Arial"/>
        <w:color w:val="0070C0"/>
        <w:sz w:val="16"/>
        <w:szCs w:val="16"/>
      </w:rPr>
    </w:pPr>
    <w:r>
      <w:rPr>
        <w:rFonts w:cs="Arial"/>
        <w:color w:val="0070C0"/>
        <w:sz w:val="16"/>
        <w:szCs w:val="16"/>
      </w:rPr>
      <w:t xml:space="preserve">NOACK ČR, spol. s r. o., Bucharova 2657/12, 158 00 Praha 5, tel: +420 267 913 675, Fax: +420 272 910 092, www.noackgroup.com                  </w:t>
    </w:r>
  </w:p>
  <w:p w14:paraId="0D0F2B41" w14:textId="0B2AA8C6" w:rsidR="00DA3DF7" w:rsidRPr="009831A0" w:rsidRDefault="00DA3DF7" w:rsidP="00DA3DF7">
    <w:pPr>
      <w:pStyle w:val="Zpat"/>
      <w:jc w:val="both"/>
      <w:rPr>
        <w:rFonts w:cs="Arial"/>
        <w:color w:val="0070C0"/>
        <w:sz w:val="16"/>
        <w:szCs w:val="16"/>
      </w:rPr>
    </w:pPr>
    <w:r>
      <w:rPr>
        <w:rFonts w:cs="Arial"/>
        <w:color w:val="0070C0"/>
        <w:sz w:val="16"/>
        <w:szCs w:val="16"/>
      </w:rPr>
      <w:t xml:space="preserve">Firma  je zapsána  v obchodním rejstříku vedeném Městským soudem v Praze,  odd. </w:t>
    </w:r>
    <w:r w:rsidRPr="009831A0">
      <w:rPr>
        <w:rFonts w:cs="Arial"/>
        <w:color w:val="0070C0"/>
        <w:sz w:val="16"/>
        <w:szCs w:val="16"/>
      </w:rPr>
      <w:t>C,  vložka 9575, IČO 45276315, DIČ CZ45276315  .</w:t>
    </w:r>
  </w:p>
  <w:p w14:paraId="19FB0334" w14:textId="77777777" w:rsidR="00DA3DF7" w:rsidRPr="009831A0" w:rsidRDefault="00DA3DF7" w:rsidP="00DA3DF7">
    <w:pPr>
      <w:pStyle w:val="Zpat"/>
      <w:jc w:val="both"/>
      <w:rPr>
        <w:rFonts w:cs="Arial"/>
        <w:color w:val="D9D9D9"/>
        <w:sz w:val="16"/>
        <w:szCs w:val="16"/>
      </w:rPr>
    </w:pPr>
  </w:p>
  <w:p w14:paraId="4DB6AA45" w14:textId="77777777" w:rsidR="00DA3DF7" w:rsidRDefault="00DA3DF7" w:rsidP="00DA3DF7">
    <w:pPr>
      <w:pStyle w:val="Zpat"/>
    </w:pPr>
    <w:r w:rsidRPr="009831A0">
      <w:rPr>
        <w:rFonts w:cs="Arial"/>
        <w:color w:val="A6A6A6"/>
        <w:sz w:val="16"/>
        <w:szCs w:val="16"/>
      </w:rPr>
      <w:t xml:space="preserve">AUSTRIA    BULGARIA    CROATIA    CZECH REPUBLIC    HUNGARY    POLAND    ROMANIA    SERBIA    SLOVENIA                         </w:t>
    </w:r>
  </w:p>
  <w:p w14:paraId="3A4EFA35" w14:textId="0D7643AE" w:rsidR="00D82558" w:rsidRPr="00DA3DF7" w:rsidRDefault="00D82558" w:rsidP="00DA3D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C84F6" w14:textId="77777777" w:rsidR="00842305" w:rsidRDefault="00842305" w:rsidP="00E665F8">
      <w:pPr>
        <w:spacing w:line="240" w:lineRule="auto"/>
      </w:pPr>
      <w:r>
        <w:separator/>
      </w:r>
    </w:p>
  </w:footnote>
  <w:footnote w:type="continuationSeparator" w:id="0">
    <w:p w14:paraId="455BC2C6" w14:textId="77777777" w:rsidR="00842305" w:rsidRDefault="00842305" w:rsidP="00E665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ED369" w14:textId="77777777" w:rsidR="00DA3DF7" w:rsidRDefault="00DA3DF7" w:rsidP="00DA3DF7">
    <w:pPr>
      <w:pStyle w:val="Zhlav"/>
      <w:jc w:val="right"/>
    </w:pPr>
    <w:r>
      <w:rPr>
        <w:noProof/>
      </w:rPr>
      <mc:AlternateContent>
        <mc:Choice Requires="wps">
          <w:drawing>
            <wp:anchor distT="0" distB="0" distL="114300" distR="114300" simplePos="0" relativeHeight="251659264" behindDoc="0" locked="0" layoutInCell="1" allowOverlap="1" wp14:anchorId="37014A66" wp14:editId="478FEA12">
              <wp:simplePos x="0" y="0"/>
              <wp:positionH relativeFrom="column">
                <wp:posOffset>-3810</wp:posOffset>
              </wp:positionH>
              <wp:positionV relativeFrom="paragraph">
                <wp:posOffset>11430</wp:posOffset>
              </wp:positionV>
              <wp:extent cx="2828925" cy="72390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8925" cy="723900"/>
                      </a:xfrm>
                      <a:prstGeom prst="rect">
                        <a:avLst/>
                      </a:prstGeom>
                      <a:noFill/>
                      <a:ln w="6350">
                        <a:noFill/>
                      </a:ln>
                    </wps:spPr>
                    <wps:txbx>
                      <w:txbxContent>
                        <w:p w14:paraId="5EB5D05E" w14:textId="77777777" w:rsidR="00DA3DF7" w:rsidRPr="005347D4" w:rsidRDefault="00DA3DF7" w:rsidP="00DA3DF7">
                          <w:pPr>
                            <w:pStyle w:val="EinfAbs"/>
                            <w:rPr>
                              <w:rFonts w:ascii="Arial" w:hAnsi="Arial" w:cs="Arial"/>
                              <w:b/>
                              <w:bCs/>
                              <w:color w:val="0054A2"/>
                              <w:sz w:val="20"/>
                              <w:szCs w:val="20"/>
                              <w:lang w:val="en-GB"/>
                            </w:rPr>
                          </w:pPr>
                          <w:r w:rsidRPr="005347D4">
                            <w:rPr>
                              <w:rFonts w:ascii="Arial" w:hAnsi="Arial" w:cs="Arial"/>
                              <w:b/>
                              <w:bCs/>
                              <w:color w:val="0054A2"/>
                              <w:sz w:val="20"/>
                              <w:szCs w:val="20"/>
                              <w:lang w:val="en-GB"/>
                            </w:rPr>
                            <w:t xml:space="preserve">NOACK ČR spol. s r.o.  </w:t>
                          </w:r>
                        </w:p>
                        <w:p w14:paraId="0007A0F6" w14:textId="77777777" w:rsidR="00DA3DF7" w:rsidRPr="005347D4" w:rsidRDefault="00DA3DF7" w:rsidP="00DA3DF7">
                          <w:pPr>
                            <w:pStyle w:val="EinfAbs"/>
                            <w:rPr>
                              <w:rFonts w:ascii="Arial" w:hAnsi="Arial" w:cs="Arial"/>
                              <w:b/>
                              <w:bCs/>
                              <w:color w:val="0054A2"/>
                              <w:sz w:val="20"/>
                              <w:szCs w:val="20"/>
                            </w:rPr>
                          </w:pPr>
                          <w:r>
                            <w:rPr>
                              <w:rFonts w:ascii="Arial" w:hAnsi="Arial" w:cs="Arial"/>
                              <w:b/>
                              <w:bCs/>
                              <w:color w:val="0054A2"/>
                              <w:sz w:val="20"/>
                              <w:szCs w:val="20"/>
                            </w:rPr>
                            <w:t>Bucharova</w:t>
                          </w:r>
                          <w:r w:rsidRPr="005347D4">
                            <w:rPr>
                              <w:rFonts w:ascii="Arial" w:hAnsi="Arial" w:cs="Arial"/>
                              <w:b/>
                              <w:bCs/>
                              <w:color w:val="0054A2"/>
                              <w:sz w:val="20"/>
                              <w:szCs w:val="20"/>
                            </w:rPr>
                            <w:t xml:space="preserve"> </w:t>
                          </w:r>
                          <w:r>
                            <w:rPr>
                              <w:rFonts w:ascii="Arial" w:hAnsi="Arial" w:cs="Arial"/>
                              <w:b/>
                              <w:bCs/>
                              <w:color w:val="0054A2"/>
                              <w:sz w:val="20"/>
                              <w:szCs w:val="20"/>
                            </w:rPr>
                            <w:t>2657</w:t>
                          </w:r>
                          <w:r w:rsidRPr="005347D4">
                            <w:rPr>
                              <w:rFonts w:ascii="Arial" w:hAnsi="Arial" w:cs="Arial"/>
                              <w:b/>
                              <w:bCs/>
                              <w:color w:val="0054A2"/>
                              <w:sz w:val="20"/>
                              <w:szCs w:val="20"/>
                            </w:rPr>
                            <w:t>/</w:t>
                          </w:r>
                          <w:r>
                            <w:rPr>
                              <w:rFonts w:ascii="Arial" w:hAnsi="Arial" w:cs="Arial"/>
                              <w:b/>
                              <w:bCs/>
                              <w:color w:val="0054A2"/>
                              <w:sz w:val="20"/>
                              <w:szCs w:val="20"/>
                            </w:rPr>
                            <w:t>12</w:t>
                          </w:r>
                          <w:r w:rsidRPr="005347D4">
                            <w:rPr>
                              <w:rFonts w:ascii="Arial" w:hAnsi="Arial" w:cs="Arial"/>
                              <w:b/>
                              <w:bCs/>
                              <w:color w:val="0054A2"/>
                              <w:sz w:val="20"/>
                              <w:szCs w:val="20"/>
                            </w:rPr>
                            <w:t xml:space="preserve"> </w:t>
                          </w:r>
                        </w:p>
                        <w:p w14:paraId="3FB6A5AE" w14:textId="0067D38C" w:rsidR="00DA3DF7" w:rsidRPr="005347D4" w:rsidRDefault="00DA3DF7" w:rsidP="00DA3DF7">
                          <w:r>
                            <w:rPr>
                              <w:rFonts w:cs="Arial"/>
                              <w:b/>
                              <w:bCs/>
                              <w:color w:val="0054A2"/>
                            </w:rPr>
                            <w:t>158 00 Praha 5, Česká republika</w:t>
                          </w:r>
                          <w:r w:rsidRPr="005347D4">
                            <w:rPr>
                              <w:rFonts w:cs="Arial"/>
                              <w:b/>
                              <w:bCs/>
                              <w:color w:val="0054A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014A66" id="_x0000_t202" coordsize="21600,21600" o:spt="202" path="m,l,21600r21600,l21600,xe">
              <v:stroke joinstyle="miter"/>
              <v:path gradientshapeok="t" o:connecttype="rect"/>
            </v:shapetype>
            <v:shape id="Textové pole 2" o:spid="_x0000_s1026" type="#_x0000_t202" style="position:absolute;left:0;text-align:left;margin-left:-.3pt;margin-top:.9pt;width:222.7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" filled="f" stroked="f" strokeweight=".5pt">
              <v:textbox>
                <w:txbxContent>
                  <w:p w14:paraId="5EB5D05E" w14:textId="77777777" w:rsidR="00DA3DF7" w:rsidRPr="005347D4" w:rsidRDefault="00DA3DF7" w:rsidP="00DA3DF7">
                    <w:pPr>
                      <w:pStyle w:val="EinfAbs"/>
                      <w:rPr>
                        <w:rFonts w:ascii="Arial" w:hAnsi="Arial" w:cs="Arial"/>
                        <w:b/>
                        <w:bCs/>
                        <w:color w:val="0054A2"/>
                        <w:sz w:val="20"/>
                        <w:szCs w:val="20"/>
                        <w:lang w:val="en-GB"/>
                      </w:rPr>
                    </w:pPr>
                    <w:r w:rsidRPr="005347D4">
                      <w:rPr>
                        <w:rFonts w:ascii="Arial" w:hAnsi="Arial" w:cs="Arial"/>
                        <w:b/>
                        <w:bCs/>
                        <w:color w:val="0054A2"/>
                        <w:sz w:val="20"/>
                        <w:szCs w:val="20"/>
                        <w:lang w:val="en-GB"/>
                      </w:rPr>
                      <w:t xml:space="preserve">NOACK ČR spol. s r.o.  </w:t>
                    </w:r>
                  </w:p>
                  <w:p w14:paraId="0007A0F6" w14:textId="77777777" w:rsidR="00DA3DF7" w:rsidRPr="005347D4" w:rsidRDefault="00DA3DF7" w:rsidP="00DA3DF7">
                    <w:pPr>
                      <w:pStyle w:val="EinfAbs"/>
                      <w:rPr>
                        <w:rFonts w:ascii="Arial" w:hAnsi="Arial" w:cs="Arial"/>
                        <w:b/>
                        <w:bCs/>
                        <w:color w:val="0054A2"/>
                        <w:sz w:val="20"/>
                        <w:szCs w:val="20"/>
                      </w:rPr>
                    </w:pPr>
                    <w:r>
                      <w:rPr>
                        <w:rFonts w:ascii="Arial" w:hAnsi="Arial" w:cs="Arial"/>
                        <w:b/>
                        <w:bCs/>
                        <w:color w:val="0054A2"/>
                        <w:sz w:val="20"/>
                        <w:szCs w:val="20"/>
                      </w:rPr>
                      <w:t>Bucharova</w:t>
                    </w:r>
                    <w:r w:rsidRPr="005347D4">
                      <w:rPr>
                        <w:rFonts w:ascii="Arial" w:hAnsi="Arial" w:cs="Arial"/>
                        <w:b/>
                        <w:bCs/>
                        <w:color w:val="0054A2"/>
                        <w:sz w:val="20"/>
                        <w:szCs w:val="20"/>
                      </w:rPr>
                      <w:t xml:space="preserve"> </w:t>
                    </w:r>
                    <w:r>
                      <w:rPr>
                        <w:rFonts w:ascii="Arial" w:hAnsi="Arial" w:cs="Arial"/>
                        <w:b/>
                        <w:bCs/>
                        <w:color w:val="0054A2"/>
                        <w:sz w:val="20"/>
                        <w:szCs w:val="20"/>
                      </w:rPr>
                      <w:t>2657</w:t>
                    </w:r>
                    <w:r w:rsidRPr="005347D4">
                      <w:rPr>
                        <w:rFonts w:ascii="Arial" w:hAnsi="Arial" w:cs="Arial"/>
                        <w:b/>
                        <w:bCs/>
                        <w:color w:val="0054A2"/>
                        <w:sz w:val="20"/>
                        <w:szCs w:val="20"/>
                      </w:rPr>
                      <w:t>/</w:t>
                    </w:r>
                    <w:r>
                      <w:rPr>
                        <w:rFonts w:ascii="Arial" w:hAnsi="Arial" w:cs="Arial"/>
                        <w:b/>
                        <w:bCs/>
                        <w:color w:val="0054A2"/>
                        <w:sz w:val="20"/>
                        <w:szCs w:val="20"/>
                      </w:rPr>
                      <w:t>12</w:t>
                    </w:r>
                    <w:r w:rsidRPr="005347D4">
                      <w:rPr>
                        <w:rFonts w:ascii="Arial" w:hAnsi="Arial" w:cs="Arial"/>
                        <w:b/>
                        <w:bCs/>
                        <w:color w:val="0054A2"/>
                        <w:sz w:val="20"/>
                        <w:szCs w:val="20"/>
                      </w:rPr>
                      <w:t xml:space="preserve"> </w:t>
                    </w:r>
                  </w:p>
                  <w:p w14:paraId="3FB6A5AE" w14:textId="0067D38C" w:rsidR="00DA3DF7" w:rsidRPr="005347D4" w:rsidRDefault="00DA3DF7" w:rsidP="00DA3DF7">
                    <w:r>
                      <w:rPr>
                        <w:rFonts w:cs="Arial"/>
                        <w:b/>
                        <w:bCs/>
                        <w:color w:val="0054A2"/>
                      </w:rPr>
                      <w:t>158 00 Praha 5, Česká republika</w:t>
                    </w:r>
                    <w:r w:rsidRPr="005347D4">
                      <w:rPr>
                        <w:rFonts w:cs="Arial"/>
                        <w:b/>
                        <w:bCs/>
                        <w:color w:val="0054A2"/>
                      </w:rPr>
                      <w:t xml:space="preserve">                   </w:t>
                    </w:r>
                  </w:p>
                </w:txbxContent>
              </v:textbox>
            </v:shape>
          </w:pict>
        </mc:Fallback>
      </mc:AlternateContent>
    </w:r>
    <w:r>
      <w:t xml:space="preserve">                                                                      </w:t>
    </w:r>
    <w:r>
      <w:rPr>
        <w:noProof/>
      </w:rPr>
      <w:t xml:space="preserve">                              </w:t>
    </w:r>
    <w:r>
      <w:rPr>
        <w:noProof/>
        <w:lang w:val="de-AT" w:eastAsia="de-AT"/>
      </w:rPr>
      <w:drawing>
        <wp:inline distT="0" distB="0" distL="0" distR="0" wp14:anchorId="77138529" wp14:editId="42E860D1">
          <wp:extent cx="1740816" cy="569595"/>
          <wp:effectExtent l="0" t="0" r="0" b="1905"/>
          <wp:docPr id="26" name="Grafik 26"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k 26"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9584" cy="585552"/>
                  </a:xfrm>
                  <a:prstGeom prst="rect">
                    <a:avLst/>
                  </a:prstGeom>
                  <a:noFill/>
                  <a:ln>
                    <a:noFill/>
                  </a:ln>
                </pic:spPr>
              </pic:pic>
            </a:graphicData>
          </a:graphic>
        </wp:inline>
      </w:drawing>
    </w:r>
    <w:r>
      <w:rPr>
        <w:noProof/>
      </w:rPr>
      <w:t xml:space="preserve">          </w:t>
    </w:r>
  </w:p>
  <w:p w14:paraId="2F426D97" w14:textId="77777777" w:rsidR="00E665F8" w:rsidRDefault="00E665F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F8"/>
    <w:rsid w:val="00002415"/>
    <w:rsid w:val="0001048C"/>
    <w:rsid w:val="00082ADE"/>
    <w:rsid w:val="0009635E"/>
    <w:rsid w:val="000B3E65"/>
    <w:rsid w:val="000C23AB"/>
    <w:rsid w:val="000F225D"/>
    <w:rsid w:val="00161DDD"/>
    <w:rsid w:val="00183194"/>
    <w:rsid w:val="00187E47"/>
    <w:rsid w:val="001957EA"/>
    <w:rsid w:val="002E3B5C"/>
    <w:rsid w:val="0033668C"/>
    <w:rsid w:val="00352484"/>
    <w:rsid w:val="0035436E"/>
    <w:rsid w:val="0037714E"/>
    <w:rsid w:val="003A6FC6"/>
    <w:rsid w:val="003C7722"/>
    <w:rsid w:val="003F6C63"/>
    <w:rsid w:val="00431625"/>
    <w:rsid w:val="00454989"/>
    <w:rsid w:val="004674BB"/>
    <w:rsid w:val="004A738B"/>
    <w:rsid w:val="004C5A1A"/>
    <w:rsid w:val="004F3C0F"/>
    <w:rsid w:val="00505056"/>
    <w:rsid w:val="005059B9"/>
    <w:rsid w:val="00530E96"/>
    <w:rsid w:val="00541AC3"/>
    <w:rsid w:val="005756A2"/>
    <w:rsid w:val="00590FAC"/>
    <w:rsid w:val="00594093"/>
    <w:rsid w:val="00597DBE"/>
    <w:rsid w:val="005A228F"/>
    <w:rsid w:val="005E7855"/>
    <w:rsid w:val="0064716B"/>
    <w:rsid w:val="00664B94"/>
    <w:rsid w:val="00671FDD"/>
    <w:rsid w:val="006863F5"/>
    <w:rsid w:val="006A2876"/>
    <w:rsid w:val="006D41AC"/>
    <w:rsid w:val="006F6FD5"/>
    <w:rsid w:val="006F7380"/>
    <w:rsid w:val="0071529C"/>
    <w:rsid w:val="0075380B"/>
    <w:rsid w:val="00760638"/>
    <w:rsid w:val="007C32C1"/>
    <w:rsid w:val="007F6C06"/>
    <w:rsid w:val="00836833"/>
    <w:rsid w:val="00842305"/>
    <w:rsid w:val="00844A38"/>
    <w:rsid w:val="00847BFF"/>
    <w:rsid w:val="008D7036"/>
    <w:rsid w:val="00931CD3"/>
    <w:rsid w:val="00940FFC"/>
    <w:rsid w:val="00993547"/>
    <w:rsid w:val="009A7DCB"/>
    <w:rsid w:val="009F6682"/>
    <w:rsid w:val="00A44E9D"/>
    <w:rsid w:val="00A656BE"/>
    <w:rsid w:val="00A73386"/>
    <w:rsid w:val="00A96944"/>
    <w:rsid w:val="00AA167A"/>
    <w:rsid w:val="00AB450D"/>
    <w:rsid w:val="00AB4D5A"/>
    <w:rsid w:val="00AF5C2A"/>
    <w:rsid w:val="00B41277"/>
    <w:rsid w:val="00B87F08"/>
    <w:rsid w:val="00B947E3"/>
    <w:rsid w:val="00B961D5"/>
    <w:rsid w:val="00BB6CEE"/>
    <w:rsid w:val="00BC4C7E"/>
    <w:rsid w:val="00BD70D2"/>
    <w:rsid w:val="00C33CA2"/>
    <w:rsid w:val="00CC2384"/>
    <w:rsid w:val="00D24E70"/>
    <w:rsid w:val="00D4029F"/>
    <w:rsid w:val="00D82558"/>
    <w:rsid w:val="00D877B6"/>
    <w:rsid w:val="00D93889"/>
    <w:rsid w:val="00DA1814"/>
    <w:rsid w:val="00DA3DF7"/>
    <w:rsid w:val="00DA6213"/>
    <w:rsid w:val="00DF6904"/>
    <w:rsid w:val="00E00BC7"/>
    <w:rsid w:val="00E101B0"/>
    <w:rsid w:val="00E5709C"/>
    <w:rsid w:val="00E665F8"/>
    <w:rsid w:val="00E66F38"/>
    <w:rsid w:val="00E97993"/>
    <w:rsid w:val="00EC05DB"/>
    <w:rsid w:val="00EE14B7"/>
    <w:rsid w:val="00F32B11"/>
    <w:rsid w:val="00F3509D"/>
    <w:rsid w:val="00F77F68"/>
    <w:rsid w:val="00F81C86"/>
    <w:rsid w:val="00FD6827"/>
    <w:rsid w:val="00FF5B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3D518"/>
  <w15:docId w15:val="{802AF76B-825C-4716-A2EE-CEA14091B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1FDD"/>
    <w:pPr>
      <w:spacing w:line="276" w:lineRule="auto"/>
    </w:pPr>
    <w:rPr>
      <w:sz w:val="22"/>
      <w:szCs w:val="22"/>
      <w:lang w:eastAsia="en-US"/>
    </w:rPr>
  </w:style>
  <w:style w:type="paragraph" w:styleId="Nadpis3">
    <w:name w:val="heading 3"/>
    <w:basedOn w:val="Normln"/>
    <w:next w:val="Normln"/>
    <w:link w:val="Nadpis3Char"/>
    <w:qFormat/>
    <w:rsid w:val="00EE14B7"/>
    <w:pPr>
      <w:keepNext/>
      <w:spacing w:line="240" w:lineRule="auto"/>
      <w:ind w:left="709" w:hanging="709"/>
      <w:outlineLvl w:val="2"/>
    </w:pPr>
    <w:rPr>
      <w:rFonts w:ascii="Futura" w:eastAsia="Times New Roman" w:hAnsi="Futura"/>
      <w:i/>
      <w:sz w:val="20"/>
      <w:szCs w:val="20"/>
      <w:lang w:val="de-AT" w:eastAsia="cs-CZ"/>
    </w:rPr>
  </w:style>
  <w:style w:type="paragraph" w:styleId="Nadpis5">
    <w:name w:val="heading 5"/>
    <w:basedOn w:val="Normln"/>
    <w:next w:val="Normln"/>
    <w:link w:val="Nadpis5Char"/>
    <w:qFormat/>
    <w:rsid w:val="00EE14B7"/>
    <w:pPr>
      <w:keepNext/>
      <w:spacing w:after="120" w:line="240" w:lineRule="auto"/>
      <w:ind w:left="709" w:hanging="709"/>
      <w:outlineLvl w:val="4"/>
    </w:pPr>
    <w:rPr>
      <w:rFonts w:ascii="Futura Bk BT" w:eastAsia="Times New Roman" w:hAnsi="Futura Bk BT"/>
      <w:i/>
      <w:sz w:val="18"/>
      <w:szCs w:val="20"/>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665F8"/>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665F8"/>
    <w:rPr>
      <w:rFonts w:ascii="Tahoma" w:hAnsi="Tahoma" w:cs="Tahoma"/>
      <w:sz w:val="16"/>
      <w:szCs w:val="16"/>
    </w:rPr>
  </w:style>
  <w:style w:type="paragraph" w:styleId="Zhlav">
    <w:name w:val="header"/>
    <w:basedOn w:val="Normln"/>
    <w:link w:val="ZhlavChar"/>
    <w:unhideWhenUsed/>
    <w:rsid w:val="00E665F8"/>
    <w:pPr>
      <w:tabs>
        <w:tab w:val="center" w:pos="4536"/>
        <w:tab w:val="right" w:pos="9072"/>
      </w:tabs>
      <w:spacing w:line="240" w:lineRule="auto"/>
    </w:pPr>
  </w:style>
  <w:style w:type="character" w:customStyle="1" w:styleId="ZhlavChar">
    <w:name w:val="Záhlaví Char"/>
    <w:basedOn w:val="Standardnpsmoodstavce"/>
    <w:link w:val="Zhlav"/>
    <w:rsid w:val="00E665F8"/>
  </w:style>
  <w:style w:type="paragraph" w:styleId="Zpat">
    <w:name w:val="footer"/>
    <w:basedOn w:val="Normln"/>
    <w:link w:val="ZpatChar"/>
    <w:uiPriority w:val="99"/>
    <w:unhideWhenUsed/>
    <w:rsid w:val="00E665F8"/>
    <w:pPr>
      <w:tabs>
        <w:tab w:val="center" w:pos="4536"/>
        <w:tab w:val="right" w:pos="9072"/>
      </w:tabs>
      <w:spacing w:line="240" w:lineRule="auto"/>
    </w:pPr>
  </w:style>
  <w:style w:type="character" w:customStyle="1" w:styleId="ZpatChar">
    <w:name w:val="Zápatí Char"/>
    <w:basedOn w:val="Standardnpsmoodstavce"/>
    <w:link w:val="Zpat"/>
    <w:uiPriority w:val="99"/>
    <w:rsid w:val="00E665F8"/>
  </w:style>
  <w:style w:type="character" w:customStyle="1" w:styleId="Nadpis3Char">
    <w:name w:val="Nadpis 3 Char"/>
    <w:basedOn w:val="Standardnpsmoodstavce"/>
    <w:link w:val="Nadpis3"/>
    <w:rsid w:val="00EE14B7"/>
    <w:rPr>
      <w:rFonts w:ascii="Futura" w:eastAsia="Times New Roman" w:hAnsi="Futura"/>
      <w:i/>
      <w:lang w:val="de-AT"/>
    </w:rPr>
  </w:style>
  <w:style w:type="character" w:customStyle="1" w:styleId="Nadpis5Char">
    <w:name w:val="Nadpis 5 Char"/>
    <w:basedOn w:val="Standardnpsmoodstavce"/>
    <w:link w:val="Nadpis5"/>
    <w:rsid w:val="00EE14B7"/>
    <w:rPr>
      <w:rFonts w:ascii="Futura Bk BT" w:eastAsia="Times New Roman" w:hAnsi="Futura Bk BT"/>
      <w:i/>
      <w:sz w:val="18"/>
      <w:lang w:val="en-GB"/>
    </w:rPr>
  </w:style>
  <w:style w:type="paragraph" w:styleId="Prosttext">
    <w:name w:val="Plain Text"/>
    <w:basedOn w:val="Normln"/>
    <w:link w:val="ProsttextChar"/>
    <w:uiPriority w:val="99"/>
    <w:unhideWhenUsed/>
    <w:rsid w:val="00EE14B7"/>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EE14B7"/>
    <w:rPr>
      <w:rFonts w:ascii="Consolas" w:hAnsi="Consolas"/>
      <w:sz w:val="21"/>
      <w:szCs w:val="21"/>
      <w:lang w:eastAsia="en-US"/>
    </w:rPr>
  </w:style>
  <w:style w:type="paragraph" w:customStyle="1" w:styleId="Default">
    <w:name w:val="Default"/>
    <w:rsid w:val="00F32B11"/>
    <w:pPr>
      <w:autoSpaceDE w:val="0"/>
      <w:autoSpaceDN w:val="0"/>
      <w:adjustRightInd w:val="0"/>
    </w:pPr>
    <w:rPr>
      <w:rFonts w:ascii="Arial" w:hAnsi="Arial" w:cs="Arial"/>
      <w:color w:val="000000"/>
      <w:sz w:val="24"/>
      <w:szCs w:val="24"/>
    </w:rPr>
  </w:style>
  <w:style w:type="paragraph" w:customStyle="1" w:styleId="EinfAbs">
    <w:name w:val="[Einf. Abs.]"/>
    <w:basedOn w:val="Normln"/>
    <w:uiPriority w:val="99"/>
    <w:rsid w:val="00DA3DF7"/>
    <w:pPr>
      <w:autoSpaceDE w:val="0"/>
      <w:autoSpaceDN w:val="0"/>
      <w:adjustRightInd w:val="0"/>
      <w:spacing w:line="288" w:lineRule="auto"/>
      <w:textAlignment w:val="center"/>
    </w:pPr>
    <w:rPr>
      <w:rFonts w:ascii="MinionPro-Regular" w:eastAsia="Times New Roman" w:hAnsi="MinionPro-Regular" w:cs="MinionPro-Regular"/>
      <w:color w:val="000000"/>
      <w:sz w:val="24"/>
      <w:szCs w:val="24"/>
      <w:lang w:val="de-DE" w:eastAsia="de-AT"/>
    </w:rPr>
  </w:style>
  <w:style w:type="paragraph" w:styleId="Revize">
    <w:name w:val="Revision"/>
    <w:hidden/>
    <w:uiPriority w:val="99"/>
    <w:semiHidden/>
    <w:rsid w:val="0064716B"/>
    <w:rPr>
      <w:sz w:val="22"/>
      <w:szCs w:val="22"/>
      <w:lang w:eastAsia="en-US"/>
    </w:rPr>
  </w:style>
  <w:style w:type="character" w:styleId="Odkaznakoment">
    <w:name w:val="annotation reference"/>
    <w:basedOn w:val="Standardnpsmoodstavce"/>
    <w:uiPriority w:val="99"/>
    <w:semiHidden/>
    <w:unhideWhenUsed/>
    <w:rsid w:val="00161DDD"/>
    <w:rPr>
      <w:sz w:val="16"/>
      <w:szCs w:val="16"/>
    </w:rPr>
  </w:style>
  <w:style w:type="paragraph" w:styleId="Textkomente">
    <w:name w:val="annotation text"/>
    <w:basedOn w:val="Normln"/>
    <w:link w:val="TextkomenteChar"/>
    <w:uiPriority w:val="99"/>
    <w:unhideWhenUsed/>
    <w:rsid w:val="00161DDD"/>
    <w:pPr>
      <w:spacing w:line="240" w:lineRule="auto"/>
    </w:pPr>
    <w:rPr>
      <w:sz w:val="20"/>
      <w:szCs w:val="20"/>
    </w:rPr>
  </w:style>
  <w:style w:type="character" w:customStyle="1" w:styleId="TextkomenteChar">
    <w:name w:val="Text komentáře Char"/>
    <w:basedOn w:val="Standardnpsmoodstavce"/>
    <w:link w:val="Textkomente"/>
    <w:uiPriority w:val="99"/>
    <w:rsid w:val="00161DDD"/>
    <w:rPr>
      <w:lang w:eastAsia="en-US"/>
    </w:rPr>
  </w:style>
  <w:style w:type="paragraph" w:styleId="Pedmtkomente">
    <w:name w:val="annotation subject"/>
    <w:basedOn w:val="Textkomente"/>
    <w:next w:val="Textkomente"/>
    <w:link w:val="PedmtkomenteChar"/>
    <w:uiPriority w:val="99"/>
    <w:semiHidden/>
    <w:unhideWhenUsed/>
    <w:rsid w:val="00161DDD"/>
    <w:rPr>
      <w:b/>
      <w:bCs/>
    </w:rPr>
  </w:style>
  <w:style w:type="character" w:customStyle="1" w:styleId="PedmtkomenteChar">
    <w:name w:val="Předmět komentáře Char"/>
    <w:basedOn w:val="TextkomenteChar"/>
    <w:link w:val="Pedmtkomente"/>
    <w:uiPriority w:val="99"/>
    <w:semiHidden/>
    <w:rsid w:val="00161DD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741431">
      <w:bodyDiv w:val="1"/>
      <w:marLeft w:val="0"/>
      <w:marRight w:val="0"/>
      <w:marTop w:val="0"/>
      <w:marBottom w:val="0"/>
      <w:divBdr>
        <w:top w:val="none" w:sz="0" w:space="0" w:color="auto"/>
        <w:left w:val="none" w:sz="0" w:space="0" w:color="auto"/>
        <w:bottom w:val="none" w:sz="0" w:space="0" w:color="auto"/>
        <w:right w:val="none" w:sz="0" w:space="0" w:color="auto"/>
      </w:divBdr>
    </w:div>
    <w:div w:id="165210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163752-0825-4BF2-9B4D-680A4D384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656</Words>
  <Characters>3873</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Noack</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Kocabkova</dc:creator>
  <cp:lastModifiedBy>Ivana Hrubá</cp:lastModifiedBy>
  <cp:revision>3</cp:revision>
  <cp:lastPrinted>2014-02-04T08:17:00Z</cp:lastPrinted>
  <dcterms:created xsi:type="dcterms:W3CDTF">2024-12-12T13:26:00Z</dcterms:created>
  <dcterms:modified xsi:type="dcterms:W3CDTF">2024-12-12T13:27:00Z</dcterms:modified>
</cp:coreProperties>
</file>