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92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5230700058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"/>
        <w:ind w:left="0"/>
        <w:rPr>
          <w:sz w:val="4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jc w:val="left"/>
      </w:pPr>
      <w:r>
        <w:rPr/>
        <w:t>ENERKOM</w:t>
      </w:r>
      <w:r>
        <w:rPr>
          <w:spacing w:val="-10"/>
        </w:rPr>
        <w:t> </w:t>
      </w:r>
      <w:r>
        <w:rPr/>
        <w:t>Jablunkovsko,</w:t>
      </w:r>
      <w:r>
        <w:rPr>
          <w:spacing w:val="-7"/>
        </w:rPr>
        <w:t> </w:t>
      </w:r>
      <w:r>
        <w:rPr/>
        <w:t>z.</w:t>
      </w:r>
      <w:r>
        <w:rPr>
          <w:spacing w:val="-8"/>
        </w:rPr>
        <w:t> </w:t>
      </w:r>
      <w:r>
        <w:rPr>
          <w:spacing w:val="-5"/>
        </w:rPr>
        <w:t>s.</w:t>
      </w:r>
    </w:p>
    <w:p>
      <w:pPr>
        <w:pStyle w:val="BodyText"/>
        <w:spacing w:before="1"/>
        <w:ind w:left="382"/>
      </w:pPr>
      <w:r>
        <w:rPr>
          <w:spacing w:val="-2"/>
        </w:rPr>
        <w:t>spolek</w:t>
      </w:r>
    </w:p>
    <w:p>
      <w:pPr>
        <w:pStyle w:val="BodyText"/>
        <w:tabs>
          <w:tab w:pos="3262" w:val="left" w:leader="none"/>
        </w:tabs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č.p.</w:t>
      </w:r>
      <w:r>
        <w:rPr>
          <w:spacing w:val="-5"/>
        </w:rPr>
        <w:t> </w:t>
      </w:r>
      <w:r>
        <w:rPr/>
        <w:t>295,</w:t>
      </w:r>
      <w:r>
        <w:rPr>
          <w:spacing w:val="-5"/>
        </w:rPr>
        <w:t> </w:t>
      </w:r>
      <w:r>
        <w:rPr/>
        <w:t>73995</w:t>
      </w:r>
      <w:r>
        <w:rPr>
          <w:spacing w:val="-5"/>
        </w:rPr>
        <w:t> </w:t>
      </w:r>
      <w:r>
        <w:rPr>
          <w:spacing w:val="-2"/>
        </w:rPr>
        <w:t>Bystřice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17545200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Petrem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í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předsedou</w:t>
      </w:r>
      <w:r>
        <w:rPr>
          <w:spacing w:val="-3"/>
        </w:rPr>
        <w:t> </w:t>
      </w:r>
      <w:r>
        <w:rPr>
          <w:spacing w:val="-2"/>
        </w:rPr>
        <w:t>výboru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2802465351/2010</w:t>
      </w:r>
    </w:p>
    <w:p>
      <w:pPr>
        <w:pStyle w:val="BodyText"/>
        <w:spacing w:line="265" w:lineRule="exac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5230700058 o poskytnutí finančních prostředků ze Státního fondu životního prostředí ČR ze dne 19.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2024 a Směrnice Ministerstva životního prostředí č. 6/2024 o poskytování finančních prostředků ze Státního fondu životního prostředí České republiky (dále jen „Směrnice MŽP“) a Směrnicí 9/2023 o realizaci Národního plánu obnovy (dále jen „Směrnice MŽP NPO“,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 (včetně příloh těchto směrnic) a Výzvou č. 7/2023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37" w:top="1400" w:bottom="1620" w:left="1320" w:right="1020"/>
          <w:pgNumType w:start="1"/>
        </w:sectPr>
      </w:pPr>
    </w:p>
    <w:p>
      <w:pPr>
        <w:pStyle w:val="BodyText"/>
        <w:spacing w:before="89"/>
        <w:ind w:right="116"/>
        <w:jc w:val="both"/>
      </w:pPr>
      <w:r>
        <w:rPr/>
        <w:t>Životní prostředí,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647"/>
        <w:jc w:val="both"/>
      </w:pPr>
      <w:r>
        <w:rPr/>
        <w:t>„Energetické</w:t>
      </w:r>
      <w:r>
        <w:rPr>
          <w:spacing w:val="-13"/>
        </w:rPr>
        <w:t> </w:t>
      </w:r>
      <w:r>
        <w:rPr/>
        <w:t>společenství</w:t>
      </w:r>
      <w:r>
        <w:rPr>
          <w:spacing w:val="-12"/>
        </w:rPr>
        <w:t> </w:t>
      </w:r>
      <w:r>
        <w:rPr/>
        <w:t>ENERKOM</w:t>
      </w:r>
      <w:r>
        <w:rPr>
          <w:spacing w:val="-13"/>
        </w:rPr>
        <w:t> </w:t>
      </w:r>
      <w:r>
        <w:rPr>
          <w:spacing w:val="-2"/>
        </w:rPr>
        <w:t>Jablunkovsko“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 použití článků 107 a 108 Smlouvy o fungování Evropské unie na podporu de minimis", zveřejněným v Úředním věstníku EU dne 15. 12. 2023.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4"/>
        <w:ind w:left="1306" w:right="1038"/>
      </w:pPr>
      <w:r>
        <w:rPr>
          <w:spacing w:val="-5"/>
        </w:rPr>
        <w:t>II.</w:t>
      </w:r>
    </w:p>
    <w:p>
      <w:pPr>
        <w:pStyle w:val="Heading2"/>
        <w:spacing w:before="1"/>
        <w:ind w:left="1304" w:right="103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" w:after="0"/>
        <w:ind w:left="665" w:right="109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999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999,80 Kč </w:t>
      </w:r>
      <w:r>
        <w:rPr>
          <w:sz w:val="20"/>
        </w:rPr>
        <w:t>(slovy: jeden</w:t>
      </w:r>
      <w:r>
        <w:rPr>
          <w:spacing w:val="-13"/>
          <w:sz w:val="20"/>
        </w:rPr>
        <w:t> </w:t>
      </w:r>
      <w:r>
        <w:rPr>
          <w:sz w:val="20"/>
        </w:rPr>
        <w:t>milion</w:t>
      </w:r>
      <w:r>
        <w:rPr>
          <w:spacing w:val="-13"/>
          <w:sz w:val="20"/>
        </w:rPr>
        <w:t> </w:t>
      </w:r>
      <w:r>
        <w:rPr>
          <w:sz w:val="20"/>
        </w:rPr>
        <w:t>devět</w:t>
      </w:r>
      <w:r>
        <w:rPr>
          <w:spacing w:val="-13"/>
          <w:sz w:val="20"/>
        </w:rPr>
        <w:t> </w:t>
      </w:r>
      <w:r>
        <w:rPr>
          <w:sz w:val="20"/>
        </w:rPr>
        <w:t>set</w:t>
      </w:r>
      <w:r>
        <w:rPr>
          <w:spacing w:val="-13"/>
          <w:sz w:val="20"/>
        </w:rPr>
        <w:t> </w:t>
      </w:r>
      <w:r>
        <w:rPr>
          <w:sz w:val="20"/>
        </w:rPr>
        <w:t>devadesát</w:t>
      </w:r>
      <w:r>
        <w:rPr>
          <w:spacing w:val="-13"/>
          <w:sz w:val="20"/>
        </w:rPr>
        <w:t> </w:t>
      </w:r>
      <w:r>
        <w:rPr>
          <w:sz w:val="20"/>
        </w:rPr>
        <w:t>devět</w:t>
      </w:r>
      <w:r>
        <w:rPr>
          <w:spacing w:val="-13"/>
          <w:sz w:val="20"/>
        </w:rPr>
        <w:t> </w:t>
      </w:r>
      <w:r>
        <w:rPr>
          <w:sz w:val="20"/>
        </w:rPr>
        <w:t>tisíc</w:t>
      </w:r>
      <w:r>
        <w:rPr>
          <w:spacing w:val="-13"/>
          <w:sz w:val="20"/>
        </w:rPr>
        <w:t> </w:t>
      </w:r>
      <w:r>
        <w:rPr>
          <w:sz w:val="20"/>
        </w:rPr>
        <w:t>devět</w:t>
      </w:r>
      <w:r>
        <w:rPr>
          <w:spacing w:val="-13"/>
          <w:sz w:val="20"/>
        </w:rPr>
        <w:t> </w:t>
      </w:r>
      <w:r>
        <w:rPr>
          <w:sz w:val="20"/>
        </w:rPr>
        <w:t>set</w:t>
      </w:r>
      <w:r>
        <w:rPr>
          <w:spacing w:val="-13"/>
          <w:sz w:val="20"/>
        </w:rPr>
        <w:t> </w:t>
      </w:r>
      <w:r>
        <w:rPr>
          <w:sz w:val="20"/>
        </w:rPr>
        <w:t>devadesát</w:t>
      </w:r>
      <w:r>
        <w:rPr>
          <w:spacing w:val="-13"/>
          <w:sz w:val="20"/>
        </w:rPr>
        <w:t> </w:t>
      </w:r>
      <w:r>
        <w:rPr>
          <w:sz w:val="20"/>
        </w:rPr>
        <w:t>devět</w:t>
      </w:r>
      <w:r>
        <w:rPr>
          <w:spacing w:val="-10"/>
          <w:sz w:val="20"/>
        </w:rPr>
        <w:t> </w:t>
      </w:r>
      <w:r>
        <w:rPr>
          <w:sz w:val="20"/>
        </w:rPr>
        <w:t>korun</w:t>
      </w:r>
      <w:r>
        <w:rPr>
          <w:spacing w:val="-12"/>
          <w:sz w:val="20"/>
        </w:rPr>
        <w:t> </w:t>
      </w:r>
      <w:r>
        <w:rPr>
          <w:sz w:val="20"/>
        </w:rPr>
        <w:t>českých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osmdesát</w:t>
      </w:r>
      <w:r>
        <w:rPr>
          <w:spacing w:val="-14"/>
          <w:sz w:val="20"/>
        </w:rPr>
        <w:t> </w:t>
      </w:r>
      <w:r>
        <w:rPr>
          <w:sz w:val="20"/>
        </w:rPr>
        <w:t>haléřů), která bude vyplacena ve dvou částech: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40" w:lineRule="auto" w:before="118" w:after="0"/>
        <w:ind w:left="1101" w:right="118" w:hanging="360"/>
        <w:jc w:val="both"/>
        <w:rPr>
          <w:sz w:val="20"/>
        </w:rPr>
      </w:pPr>
      <w:r>
        <w:rPr>
          <w:sz w:val="20"/>
        </w:rPr>
        <w:t>jednorázová záloha (ex ante platba bez nutnosti podávat žádost o platbu) proplácená po nabytí účinnosti této Smlouvy ve výši 60 % celkové dotace a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40" w:lineRule="auto" w:before="121" w:after="0"/>
        <w:ind w:left="1101" w:right="108" w:hanging="360"/>
        <w:jc w:val="both"/>
        <w:rPr>
          <w:sz w:val="20"/>
        </w:rPr>
      </w:pPr>
      <w:r>
        <w:rPr>
          <w:sz w:val="20"/>
        </w:rPr>
        <w:t>následné vyúčtování (ex post platba, tj. doplatek) bude proplaceno na základě doložení všech relevantních</w:t>
      </w:r>
      <w:r>
        <w:rPr>
          <w:spacing w:val="-14"/>
          <w:sz w:val="20"/>
        </w:rPr>
        <w:t> </w:t>
      </w:r>
      <w:r>
        <w:rPr>
          <w:sz w:val="20"/>
        </w:rPr>
        <w:t>podkladů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2.1</w:t>
      </w:r>
      <w:r>
        <w:rPr>
          <w:spacing w:val="-14"/>
          <w:sz w:val="20"/>
        </w:rPr>
        <w:t> </w:t>
      </w:r>
      <w:r>
        <w:rPr>
          <w:sz w:val="20"/>
        </w:rPr>
        <w:t>Výzvy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4"/>
          <w:sz w:val="20"/>
        </w:rPr>
        <w:t> </w:t>
      </w:r>
      <w:r>
        <w:rPr>
          <w:sz w:val="20"/>
        </w:rPr>
        <w:t>ukončení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souvisejících</w:t>
      </w:r>
      <w:r>
        <w:rPr>
          <w:spacing w:val="-14"/>
          <w:sz w:val="20"/>
        </w:rPr>
        <w:t> </w:t>
      </w:r>
      <w:r>
        <w:rPr>
          <w:sz w:val="20"/>
        </w:rPr>
        <w:t>aktivit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2.2</w:t>
      </w:r>
      <w:r>
        <w:rPr>
          <w:spacing w:val="-14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4"/>
          <w:sz w:val="20"/>
        </w:rPr>
        <w:t> </w:t>
      </w:r>
      <w:r>
        <w:rPr>
          <w:sz w:val="20"/>
        </w:rPr>
        <w:t>poskytována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typu</w:t>
      </w:r>
      <w:r>
        <w:rPr>
          <w:spacing w:val="16"/>
          <w:sz w:val="20"/>
        </w:rPr>
        <w:t> </w:t>
      </w:r>
      <w:r>
        <w:rPr>
          <w:sz w:val="20"/>
        </w:rPr>
        <w:t>energetického</w:t>
      </w:r>
      <w:r>
        <w:rPr>
          <w:spacing w:val="15"/>
          <w:sz w:val="20"/>
        </w:rPr>
        <w:t> </w:t>
      </w:r>
      <w:r>
        <w:rPr>
          <w:sz w:val="20"/>
        </w:rPr>
        <w:t>společenství</w:t>
      </w:r>
      <w:r>
        <w:rPr>
          <w:spacing w:val="14"/>
          <w:sz w:val="20"/>
        </w:rPr>
        <w:t> </w:t>
      </w:r>
      <w:r>
        <w:rPr>
          <w:sz w:val="20"/>
        </w:rPr>
        <w:t>tak,</w:t>
      </w:r>
      <w:r>
        <w:rPr>
          <w:spacing w:val="15"/>
          <w:sz w:val="20"/>
        </w:rPr>
        <w:t> </w:t>
      </w:r>
      <w:r>
        <w:rPr>
          <w:sz w:val="20"/>
        </w:rPr>
        <w:t>jak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definováno</w:t>
      </w:r>
    </w:p>
    <w:p>
      <w:pPr>
        <w:pStyle w:val="BodyText"/>
        <w:spacing w:line="265" w:lineRule="exact"/>
        <w:jc w:val="both"/>
      </w:pPr>
      <w:r>
        <w:rPr/>
        <w:t>v</w:t>
      </w:r>
      <w:r>
        <w:rPr>
          <w:spacing w:val="-2"/>
        </w:rPr>
        <w:t> </w:t>
      </w:r>
      <w:r>
        <w:rPr/>
        <w:t>bodě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>
          <w:spacing w:val="-2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v období od 1. ledna 2022.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Při</w:t>
      </w:r>
      <w:r>
        <w:rPr>
          <w:spacing w:val="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7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6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6"/>
          <w:sz w:val="20"/>
        </w:rPr>
        <w:t> </w:t>
      </w:r>
      <w:r>
        <w:rPr>
          <w:w w:val="95"/>
          <w:sz w:val="20"/>
        </w:rPr>
        <w:t>akce</w:t>
      </w:r>
      <w:r>
        <w:rPr>
          <w:spacing w:val="7"/>
          <w:sz w:val="20"/>
        </w:rPr>
        <w:t> </w:t>
      </w:r>
      <w:r>
        <w:rPr>
          <w:w w:val="95"/>
          <w:sz w:val="20"/>
        </w:rPr>
        <w:t>a</w:t>
      </w:r>
      <w:r>
        <w:rPr>
          <w:spacing w:val="4"/>
          <w:sz w:val="20"/>
        </w:rPr>
        <w:t> </w:t>
      </w:r>
      <w:r>
        <w:rPr>
          <w:w w:val="95"/>
          <w:sz w:val="20"/>
        </w:rPr>
        <w:t>z</w:t>
      </w:r>
      <w:r>
        <w:rPr>
          <w:spacing w:val="8"/>
          <w:sz w:val="20"/>
        </w:rPr>
        <w:t> </w:t>
      </w:r>
      <w:r>
        <w:rPr>
          <w:w w:val="95"/>
          <w:sz w:val="20"/>
        </w:rPr>
        <w:t>nich</w:t>
      </w:r>
      <w:r>
        <w:rPr>
          <w:spacing w:val="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4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8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4"/>
          <w:sz w:val="20"/>
        </w:rPr>
        <w:t> </w:t>
      </w:r>
      <w:r>
        <w:rPr>
          <w:w w:val="95"/>
          <w:sz w:val="20"/>
        </w:rPr>
        <w:t>se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5"/>
          <w:sz w:val="20"/>
        </w:rPr>
        <w:t> </w:t>
      </w:r>
      <w:r>
        <w:rPr>
          <w:w w:val="95"/>
          <w:sz w:val="20"/>
        </w:rPr>
        <w:t>ze</w:t>
      </w:r>
      <w:r>
        <w:rPr>
          <w:spacing w:val="7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9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26"/>
          <w:sz w:val="20"/>
        </w:rPr>
        <w:t> </w:t>
      </w:r>
      <w:r>
        <w:rPr>
          <w:spacing w:val="-5"/>
          <w:w w:val="95"/>
          <w:sz w:val="20"/>
        </w:rPr>
        <w:t>14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6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6"/>
          <w:sz w:val="20"/>
        </w:rPr>
        <w:t> </w:t>
      </w:r>
      <w:r>
        <w:rPr>
          <w:sz w:val="20"/>
        </w:rPr>
        <w:t>Smlouvou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části</w:t>
      </w:r>
      <w:r>
        <w:rPr>
          <w:spacing w:val="-4"/>
          <w:sz w:val="20"/>
        </w:rPr>
        <w:t> </w:t>
      </w:r>
      <w:r>
        <w:rPr>
          <w:sz w:val="20"/>
        </w:rPr>
        <w:t>II,</w:t>
      </w:r>
      <w:r>
        <w:rPr>
          <w:spacing w:val="-7"/>
          <w:sz w:val="20"/>
        </w:rPr>
        <w:t> </w:t>
      </w:r>
      <w:r>
        <w:rPr>
          <w:sz w:val="20"/>
        </w:rPr>
        <w:t>bod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1).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1"/>
        <w:ind w:right="111"/>
        <w:jc w:val="both"/>
      </w:pPr>
      <w:r>
        <w:rPr/>
        <w:t>Zálohovou</w:t>
      </w:r>
      <w:r>
        <w:rPr>
          <w:spacing w:val="-13"/>
        </w:rPr>
        <w:t> </w:t>
      </w:r>
      <w:r>
        <w:rPr/>
        <w:t>(ex-ante)</w:t>
      </w:r>
      <w:r>
        <w:rPr>
          <w:spacing w:val="-13"/>
        </w:rPr>
        <w:t> </w:t>
      </w:r>
      <w:r>
        <w:rPr/>
        <w:t>platbu</w:t>
      </w:r>
      <w:r>
        <w:rPr>
          <w:spacing w:val="-10"/>
        </w:rPr>
        <w:t> </w:t>
      </w:r>
      <w:r>
        <w:rPr/>
        <w:t>Fond</w:t>
      </w:r>
      <w:r>
        <w:rPr>
          <w:spacing w:val="-12"/>
        </w:rPr>
        <w:t> </w:t>
      </w:r>
      <w:r>
        <w:rPr/>
        <w:t>příjemci</w:t>
      </w:r>
      <w:r>
        <w:rPr>
          <w:spacing w:val="-10"/>
        </w:rPr>
        <w:t> </w:t>
      </w:r>
      <w:r>
        <w:rPr/>
        <w:t>poskytne</w:t>
      </w:r>
      <w:r>
        <w:rPr>
          <w:spacing w:val="-14"/>
        </w:rPr>
        <w:t> </w:t>
      </w:r>
      <w:r>
        <w:rPr/>
        <w:t>formou</w:t>
      </w:r>
      <w:r>
        <w:rPr>
          <w:spacing w:val="-13"/>
        </w:rPr>
        <w:t> </w:t>
      </w:r>
      <w:r>
        <w:rPr/>
        <w:t>převodu</w:t>
      </w:r>
      <w:r>
        <w:rPr>
          <w:spacing w:val="-12"/>
        </w:rPr>
        <w:t> </w:t>
      </w:r>
      <w:r>
        <w:rPr/>
        <w:t>bez</w:t>
      </w:r>
      <w:r>
        <w:rPr>
          <w:spacing w:val="-12"/>
        </w:rPr>
        <w:t> </w:t>
      </w:r>
      <w:r>
        <w:rPr/>
        <w:t>žádosti</w:t>
      </w:r>
      <w:r>
        <w:rPr>
          <w:spacing w:val="-13"/>
        </w:rPr>
        <w:t> </w:t>
      </w: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9"/>
        </w:rPr>
        <w:t> </w:t>
      </w:r>
      <w:r>
        <w:rPr/>
        <w:t>v</w:t>
      </w:r>
      <w:r>
        <w:rPr>
          <w:spacing w:val="-12"/>
        </w:rPr>
        <w:t> </w:t>
      </w:r>
      <w:r>
        <w:rPr/>
        <w:t>poměru</w:t>
      </w:r>
      <w:r>
        <w:rPr>
          <w:spacing w:val="-12"/>
        </w:rPr>
        <w:t> </w:t>
      </w:r>
      <w:r>
        <w:rPr/>
        <w:t>60</w:t>
      </w:r>
      <w:r>
        <w:rPr>
          <w:spacing w:val="-2"/>
        </w:rPr>
        <w:t> </w:t>
      </w:r>
      <w:r>
        <w:rPr/>
        <w:t>% z celkové dotace, a to ve výši 1 199</w:t>
      </w:r>
      <w:r>
        <w:rPr>
          <w:spacing w:val="-1"/>
        </w:rPr>
        <w:t> </w:t>
      </w:r>
      <w:r>
        <w:rPr/>
        <w:t>999,87Kč (tj. 60</w:t>
      </w:r>
      <w:r>
        <w:rPr>
          <w:spacing w:val="-1"/>
        </w:rPr>
        <w:t> </w:t>
      </w:r>
      <w:r>
        <w:rPr/>
        <w:t>% z</w:t>
      </w:r>
      <w:r>
        <w:rPr>
          <w:spacing w:val="-1"/>
        </w:rPr>
        <w:t> </w:t>
      </w:r>
      <w:r>
        <w:rPr/>
        <w:t>celkové dotace). Následný doplatek bude proplacen po ukončení všech souvisejících aktivit dle části 2.2 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89"/>
        <w:ind w:right="112"/>
        <w:jc w:val="both"/>
      </w:pPr>
      <w:r>
        <w:rPr/>
        <w:t>platí i pro případ, že příjemce podpory v průběhu realizace akce nehradí z vlastních zdrojů plně výdaje akce přesahující základ pro stanovení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ind w:left="690" w:right="395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doplatku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284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708" w:footer="1437" w:top="1400" w:bottom="162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8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708" w:footer="1437" w:top="1400" w:bottom="162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se zavazuje splnit účel akce tím, že akce Energetické společenství ENERKOM Jablunkovsko bude provedena 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vydání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rozhodnutí,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13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586/1992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daních</w:t>
      </w:r>
      <w:r>
        <w:rPr>
          <w:spacing w:val="-13"/>
          <w:sz w:val="20"/>
        </w:rPr>
        <w:t> </w:t>
      </w:r>
      <w:r>
        <w:rPr>
          <w:sz w:val="20"/>
        </w:rPr>
        <w:t>z příjmů,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12"/>
          <w:sz w:val="20"/>
        </w:rPr>
        <w:t> </w:t>
      </w:r>
      <w:r>
        <w:rPr>
          <w:sz w:val="20"/>
        </w:rPr>
        <w:t>znění)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pokynů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</w:p>
    <w:p>
      <w:pPr>
        <w:pStyle w:val="BodyText"/>
        <w:spacing w:before="1"/>
        <w:ind w:left="741"/>
        <w:jc w:val="both"/>
      </w:pPr>
      <w:r>
        <w:rPr/>
        <w:t>e)</w:t>
      </w:r>
      <w:r>
        <w:rPr>
          <w:spacing w:val="-4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437" w:top="1400" w:bottom="162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18" w:hanging="360"/>
        <w:jc w:val="both"/>
        <w:rPr>
          <w:sz w:val="20"/>
        </w:rPr>
      </w:pPr>
      <w:r>
        <w:rPr>
          <w:sz w:val="20"/>
        </w:rPr>
        <w:t>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7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0"/>
        <w:jc w:val="both"/>
      </w:pPr>
      <w:r>
        <w:rPr/>
        <w:t>c)</w:t>
      </w:r>
      <w:r>
        <w:rPr>
          <w:spacing w:val="65"/>
        </w:rPr>
        <w:t> </w:t>
      </w:r>
      <w:r>
        <w:rPr/>
        <w:t>se</w:t>
      </w:r>
      <w:r>
        <w:rPr>
          <w:spacing w:val="-6"/>
        </w:rPr>
        <w:t> </w:t>
      </w:r>
      <w:r>
        <w:rPr/>
        <w:t>zavazuje</w:t>
      </w:r>
      <w:r>
        <w:rPr>
          <w:spacing w:val="-5"/>
        </w:rPr>
        <w:t> </w:t>
      </w:r>
      <w:r>
        <w:rPr/>
        <w:t>dodržet</w:t>
      </w:r>
      <w:r>
        <w:rPr>
          <w:spacing w:val="-5"/>
        </w:rPr>
        <w:t> </w:t>
      </w:r>
      <w:r>
        <w:rPr/>
        <w:t>lhůty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10/2025 a o dodržení tohoto termínu Fond bez zbytečného odkladu informovat. Přitom se konstatuje, že akce byla zahájena v 10/2024.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9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9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bb)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89"/>
        <w:ind w:right="114"/>
        <w:jc w:val="both"/>
      </w:pPr>
      <w:r>
        <w:rPr/>
        <w:t>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 podpory</w:t>
      </w:r>
      <w:r>
        <w:rPr>
          <w:spacing w:val="2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2"/>
          <w:sz w:val="20"/>
        </w:rPr>
        <w:t> </w:t>
      </w:r>
      <w:r>
        <w:rPr>
          <w:sz w:val="20"/>
        </w:rPr>
        <w:t>se zdržet</w:t>
      </w:r>
      <w:r>
        <w:rPr>
          <w:spacing w:val="2"/>
          <w:sz w:val="20"/>
        </w:rPr>
        <w:t> </w:t>
      </w:r>
      <w:r>
        <w:rPr>
          <w:sz w:val="20"/>
        </w:rPr>
        <w:t>podvodného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2"/>
          <w:sz w:val="20"/>
        </w:rPr>
        <w:t> </w:t>
      </w:r>
      <w:r>
        <w:rPr>
          <w:sz w:val="20"/>
        </w:rPr>
        <w:t>jednání</w:t>
      </w:r>
      <w:r>
        <w:rPr>
          <w:spacing w:val="1"/>
          <w:sz w:val="20"/>
        </w:rPr>
        <w:t> </w:t>
      </w:r>
      <w:r>
        <w:rPr>
          <w:sz w:val="20"/>
        </w:rPr>
        <w:t>definovaného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10"/>
          <w:sz w:val="20"/>
        </w:rPr>
        <w:t> </w:t>
      </w:r>
      <w:r>
        <w:rPr>
          <w:sz w:val="20"/>
        </w:rPr>
        <w:t>9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s)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 w:right="103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3,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2"/>
          <w:sz w:val="20"/>
        </w:rPr>
        <w:t> </w:t>
      </w:r>
      <w:r>
        <w:rPr>
          <w:sz w:val="20"/>
        </w:rPr>
        <w:t>b) za první nebo druhou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4"/>
          <w:sz w:val="20"/>
        </w:rPr>
        <w:t> </w:t>
      </w:r>
      <w:r>
        <w:rPr>
          <w:sz w:val="20"/>
        </w:rPr>
        <w:t>porušení povinností uvedených v článku IV bodu 1 písm. a), bude toto porušení postiženo odvodem ve výši 100 % z poskytnuté 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 w:right="103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8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3"/>
          <w:sz w:val="20"/>
        </w:rPr>
        <w:t> </w:t>
      </w:r>
      <w:r>
        <w:rPr>
          <w:sz w:val="20"/>
        </w:rPr>
        <w:t>podobě,</w:t>
      </w:r>
      <w:r>
        <w:rPr>
          <w:spacing w:val="-13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2"/>
          <w:sz w:val="20"/>
        </w:rPr>
        <w:t> </w:t>
      </w:r>
      <w:r>
        <w:rPr>
          <w:sz w:val="20"/>
        </w:rPr>
        <w:t>projektovému</w:t>
      </w:r>
      <w:r>
        <w:rPr>
          <w:spacing w:val="-12"/>
          <w:sz w:val="20"/>
        </w:rPr>
        <w:t> </w:t>
      </w:r>
      <w:r>
        <w:rPr>
          <w:sz w:val="20"/>
        </w:rPr>
        <w:t>manažerovi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datovou</w:t>
      </w:r>
      <w:r>
        <w:rPr>
          <w:spacing w:val="-7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91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437" w:top="14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91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ind w:left="0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  <w:sz w:val="12"/>
        </w:rPr>
      </w:pPr>
      <w:r>
        <w:rPr/>
        <w:pict>
          <v:rect style="position:absolute;margin-left:85.103996pt;margin-top:9.18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line="237" w:lineRule="auto" w:before="4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28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</w:t>
            </w:r>
            <w:r>
              <w:rPr>
                <w:sz w:val="22"/>
              </w:rPr>
              <w:t>písm. i), </w:t>
            </w:r>
            <w:r>
              <w:rPr>
                <w:sz w:val="20"/>
              </w:rPr>
              <w:t>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40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708" w:footer="1437" w:top="14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03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560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2024-12-12T12:21:04Z</dcterms:created>
  <dcterms:modified xsi:type="dcterms:W3CDTF">2024-12-12T12:21:04Z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2024-12-12T00:00:00Z</vt:filetime>
  </property>
</Properties>
</file>