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DF18F" w14:textId="77777777" w:rsidR="005C4A6F" w:rsidRDefault="005C4A6F">
      <w:pPr>
        <w:spacing w:line="1" w:lineRule="exact"/>
      </w:pPr>
    </w:p>
    <w:p w14:paraId="1548AF67" w14:textId="77777777" w:rsidR="005C4A6F" w:rsidRDefault="001B7AE5">
      <w:pPr>
        <w:pStyle w:val="Heading210"/>
        <w:framePr w:w="9120" w:h="13027" w:hRule="exact" w:wrap="none" w:vAnchor="page" w:hAnchor="page" w:x="1434" w:y="1442"/>
      </w:pPr>
      <w:bookmarkStart w:id="0" w:name="bookmark0"/>
      <w:bookmarkStart w:id="1" w:name="bookmark1"/>
      <w:bookmarkStart w:id="2" w:name="bookmark2"/>
      <w:r>
        <w:t>Národní muzeum</w:t>
      </w:r>
      <w:bookmarkEnd w:id="0"/>
      <w:bookmarkEnd w:id="1"/>
      <w:bookmarkEnd w:id="2"/>
    </w:p>
    <w:p w14:paraId="207DBB97" w14:textId="77777777" w:rsidR="005C4A6F" w:rsidRDefault="001B7AE5">
      <w:pPr>
        <w:pStyle w:val="Bodytext10"/>
        <w:framePr w:w="9120" w:h="13027" w:hRule="exact" w:wrap="none" w:vAnchor="page" w:hAnchor="page" w:x="1434" w:y="1442"/>
      </w:pPr>
      <w:r>
        <w:t>IČO: 000 23 272 DIČ: CZ00023272</w:t>
      </w:r>
    </w:p>
    <w:p w14:paraId="12925A0A" w14:textId="77777777" w:rsidR="005C4A6F" w:rsidRDefault="001B7AE5">
      <w:pPr>
        <w:pStyle w:val="Bodytext10"/>
        <w:framePr w:w="9120" w:h="13027" w:hRule="exact" w:wrap="none" w:vAnchor="page" w:hAnchor="page" w:x="1434" w:y="1442"/>
      </w:pPr>
      <w:r>
        <w:t>se sídlem: Václavské náměstí 1700/68, 11000, Praha, Nové Město</w:t>
      </w:r>
    </w:p>
    <w:p w14:paraId="1394DE5E" w14:textId="77777777" w:rsidR="005C4A6F" w:rsidRDefault="001B7AE5">
      <w:pPr>
        <w:pStyle w:val="Bodytext10"/>
        <w:framePr w:w="9120" w:h="13027" w:hRule="exact" w:wrap="none" w:vAnchor="page" w:hAnchor="page" w:x="1434" w:y="1442"/>
      </w:pPr>
      <w:r>
        <w:t>jehož jménem jedná Ing. Rudolf Pohl, provozní náměstek</w:t>
      </w:r>
    </w:p>
    <w:p w14:paraId="5123807B" w14:textId="77777777" w:rsidR="005C4A6F" w:rsidRDefault="001B7AE5">
      <w:pPr>
        <w:pStyle w:val="Bodytext10"/>
        <w:framePr w:w="9120" w:h="13027" w:hRule="exact" w:wrap="none" w:vAnchor="page" w:hAnchor="page" w:x="1434" w:y="1442"/>
        <w:spacing w:after="540"/>
      </w:pPr>
      <w:r>
        <w:t xml:space="preserve">na straně jedné (dále též jako </w:t>
      </w:r>
      <w:r>
        <w:rPr>
          <w:b/>
          <w:bCs/>
        </w:rPr>
        <w:t>„Objednatel“)</w:t>
      </w:r>
    </w:p>
    <w:p w14:paraId="5A04E1B2" w14:textId="77777777" w:rsidR="005C4A6F" w:rsidRDefault="001B7AE5">
      <w:pPr>
        <w:pStyle w:val="Bodytext10"/>
        <w:framePr w:w="9120" w:h="13027" w:hRule="exact" w:wrap="none" w:vAnchor="page" w:hAnchor="page" w:x="1434" w:y="1442"/>
        <w:spacing w:after="540"/>
      </w:pPr>
      <w:r>
        <w:t>a</w:t>
      </w:r>
    </w:p>
    <w:p w14:paraId="085362E7" w14:textId="77777777" w:rsidR="005C4A6F" w:rsidRDefault="001B7AE5">
      <w:pPr>
        <w:pStyle w:val="Heading210"/>
        <w:framePr w:w="9120" w:h="13027" w:hRule="exact" w:wrap="none" w:vAnchor="page" w:hAnchor="page" w:x="1434" w:y="1442"/>
      </w:pPr>
      <w:bookmarkStart w:id="3" w:name="bookmark3"/>
      <w:bookmarkStart w:id="4" w:name="bookmark4"/>
      <w:bookmarkStart w:id="5" w:name="bookmark5"/>
      <w:r>
        <w:t>FortiFox Technologies, a.s.</w:t>
      </w:r>
      <w:bookmarkEnd w:id="3"/>
      <w:bookmarkEnd w:id="4"/>
      <w:bookmarkEnd w:id="5"/>
    </w:p>
    <w:p w14:paraId="0205E75A" w14:textId="77777777" w:rsidR="005C4A6F" w:rsidRDefault="001B7AE5">
      <w:pPr>
        <w:pStyle w:val="Bodytext10"/>
        <w:framePr w:w="9120" w:h="13027" w:hRule="exact" w:wrap="none" w:vAnchor="page" w:hAnchor="page" w:x="1434" w:y="1442"/>
      </w:pPr>
      <w:r>
        <w:t xml:space="preserve">IČO: 176 62 </w:t>
      </w:r>
      <w:r>
        <w:t>087 DIČ: CZ17662087</w:t>
      </w:r>
    </w:p>
    <w:p w14:paraId="37891A59" w14:textId="77777777" w:rsidR="005C4A6F" w:rsidRDefault="001B7AE5">
      <w:pPr>
        <w:pStyle w:val="Bodytext10"/>
        <w:framePr w:w="9120" w:h="13027" w:hRule="exact" w:wrap="none" w:vAnchor="page" w:hAnchor="page" w:x="1434" w:y="1442"/>
      </w:pPr>
      <w:r>
        <w:t>se sídlem: Rohanské nábřeží 671/15, Karlín, 186 00 Praha 8</w:t>
      </w:r>
    </w:p>
    <w:p w14:paraId="21C49A15" w14:textId="77777777" w:rsidR="005C4A6F" w:rsidRDefault="001B7AE5">
      <w:pPr>
        <w:pStyle w:val="Bodytext10"/>
        <w:framePr w:w="9120" w:h="13027" w:hRule="exact" w:wrap="none" w:vAnchor="page" w:hAnchor="page" w:x="1434" w:y="1442"/>
      </w:pPr>
      <w:r>
        <w:t>zapsaná v obchodním rejstříku vedeném Městským soudem v Praze, oddíl B, vložka 27684</w:t>
      </w:r>
    </w:p>
    <w:p w14:paraId="0E57E8A1" w14:textId="77777777" w:rsidR="005C4A6F" w:rsidRDefault="001B7AE5">
      <w:pPr>
        <w:pStyle w:val="Bodytext10"/>
        <w:framePr w:w="9120" w:h="13027" w:hRule="exact" w:wrap="none" w:vAnchor="page" w:hAnchor="page" w:x="1434" w:y="1442"/>
      </w:pPr>
      <w:r>
        <w:t>zastoupena: Milošem Vrábelem, předsedou správní rady</w:t>
      </w:r>
    </w:p>
    <w:p w14:paraId="5D842986" w14:textId="77777777" w:rsidR="005C4A6F" w:rsidRDefault="001B7AE5">
      <w:pPr>
        <w:pStyle w:val="Bodytext10"/>
        <w:framePr w:w="9120" w:h="13027" w:hRule="exact" w:wrap="none" w:vAnchor="page" w:hAnchor="page" w:x="1434" w:y="1442"/>
        <w:ind w:left="1420"/>
      </w:pPr>
      <w:r>
        <w:t>Ing. Ondřejem Rolníkem, členem správní rady</w:t>
      </w:r>
    </w:p>
    <w:p w14:paraId="3239ECFF" w14:textId="77777777" w:rsidR="005C4A6F" w:rsidRDefault="001B7AE5">
      <w:pPr>
        <w:pStyle w:val="Bodytext10"/>
        <w:framePr w:w="9120" w:h="13027" w:hRule="exact" w:wrap="none" w:vAnchor="page" w:hAnchor="page" w:x="1434" w:y="1442"/>
        <w:spacing w:after="540"/>
      </w:pPr>
      <w:r>
        <w:t xml:space="preserve">na straně druhé (dále též jako </w:t>
      </w:r>
      <w:r>
        <w:rPr>
          <w:b/>
          <w:bCs/>
        </w:rPr>
        <w:t>„Zhotovitel“)</w:t>
      </w:r>
    </w:p>
    <w:p w14:paraId="7345BB04" w14:textId="77777777" w:rsidR="005C4A6F" w:rsidRDefault="001B7AE5">
      <w:pPr>
        <w:pStyle w:val="Bodytext10"/>
        <w:framePr w:w="9120" w:h="13027" w:hRule="exact" w:wrap="none" w:vAnchor="page" w:hAnchor="page" w:x="1434" w:y="1442"/>
        <w:spacing w:after="540"/>
      </w:pPr>
      <w:r>
        <w:t>uzavírají níže uvedeného dne, měsíce a roku následující</w:t>
      </w:r>
    </w:p>
    <w:p w14:paraId="55247420" w14:textId="77777777" w:rsidR="005C4A6F" w:rsidRDefault="001B7AE5">
      <w:pPr>
        <w:pStyle w:val="Heading110"/>
        <w:framePr w:w="9120" w:h="13027" w:hRule="exact" w:wrap="none" w:vAnchor="page" w:hAnchor="page" w:x="1434" w:y="1442"/>
      </w:pPr>
      <w:bookmarkStart w:id="6" w:name="bookmark6"/>
      <w:bookmarkStart w:id="7" w:name="bookmark7"/>
      <w:bookmarkStart w:id="8" w:name="bookmark8"/>
      <w:r>
        <w:t>DODATEK Č. 1 KE SMLOUVĚ O DÍLO č. 241205</w:t>
      </w:r>
      <w:bookmarkEnd w:id="6"/>
      <w:bookmarkEnd w:id="7"/>
      <w:bookmarkEnd w:id="8"/>
    </w:p>
    <w:p w14:paraId="7287CA36" w14:textId="77777777" w:rsidR="005C4A6F" w:rsidRDefault="001B7AE5">
      <w:pPr>
        <w:pStyle w:val="Heading210"/>
        <w:framePr w:w="9120" w:h="13027" w:hRule="exact" w:wrap="none" w:vAnchor="page" w:hAnchor="page" w:x="1434" w:y="1442"/>
        <w:jc w:val="center"/>
      </w:pPr>
      <w:bookmarkStart w:id="9" w:name="bookmark10"/>
      <w:bookmarkStart w:id="10" w:name="bookmark11"/>
      <w:bookmarkStart w:id="11" w:name="bookmark9"/>
      <w:r>
        <w:t>i.</w:t>
      </w:r>
      <w:bookmarkEnd w:id="9"/>
      <w:bookmarkEnd w:id="10"/>
      <w:bookmarkEnd w:id="11"/>
    </w:p>
    <w:p w14:paraId="5E656A9C" w14:textId="77777777" w:rsidR="005C4A6F" w:rsidRDefault="001B7AE5">
      <w:pPr>
        <w:pStyle w:val="Bodytext10"/>
        <w:framePr w:w="9120" w:h="13027" w:hRule="exact" w:wrap="none" w:vAnchor="page" w:hAnchor="page" w:x="1434" w:y="1442"/>
        <w:numPr>
          <w:ilvl w:val="0"/>
          <w:numId w:val="1"/>
        </w:numPr>
        <w:tabs>
          <w:tab w:val="left" w:pos="565"/>
        </w:tabs>
        <w:ind w:left="560" w:hanging="560"/>
        <w:jc w:val="both"/>
      </w:pPr>
      <w:bookmarkStart w:id="12" w:name="bookmark12"/>
      <w:bookmarkEnd w:id="12"/>
      <w:r>
        <w:t xml:space="preserve">Smluvní strany společně konstatují, že spolu dne 30. 8. 2024 uzavřely smlouvu o dílo (dále též jako </w:t>
      </w:r>
      <w:r>
        <w:rPr>
          <w:b/>
          <w:bCs/>
        </w:rPr>
        <w:t xml:space="preserve">„Smlouva“), </w:t>
      </w:r>
      <w:r>
        <w:t>kterou se Zhotovitel zavázal provést pro Objednatele dílo spočívající v demontáži pokladny v NBNM vč. elektra a elektroinstalace pro nově zřízené pokladny.</w:t>
      </w:r>
    </w:p>
    <w:p w14:paraId="73B7B936" w14:textId="77777777" w:rsidR="005C4A6F" w:rsidRDefault="001B7AE5">
      <w:pPr>
        <w:pStyle w:val="Bodytext10"/>
        <w:framePr w:w="9120" w:h="13027" w:hRule="exact" w:wrap="none" w:vAnchor="page" w:hAnchor="page" w:x="1434" w:y="1442"/>
        <w:numPr>
          <w:ilvl w:val="0"/>
          <w:numId w:val="1"/>
        </w:numPr>
        <w:tabs>
          <w:tab w:val="left" w:pos="565"/>
        </w:tabs>
        <w:spacing w:line="298" w:lineRule="auto"/>
        <w:ind w:left="560" w:hanging="560"/>
        <w:jc w:val="both"/>
      </w:pPr>
      <w:bookmarkStart w:id="13" w:name="bookmark13"/>
      <w:bookmarkEnd w:id="13"/>
      <w:r>
        <w:t>Smluvní strany se tímto dohodly na změně Smlouvy, jak následuje níže v tomto článku tohoto dodatku.</w:t>
      </w:r>
    </w:p>
    <w:p w14:paraId="6A4944F3" w14:textId="77777777" w:rsidR="005C4A6F" w:rsidRDefault="001B7AE5">
      <w:pPr>
        <w:pStyle w:val="Bodytext10"/>
        <w:framePr w:w="9120" w:h="13027" w:hRule="exact" w:wrap="none" w:vAnchor="page" w:hAnchor="page" w:x="1434" w:y="1442"/>
        <w:numPr>
          <w:ilvl w:val="0"/>
          <w:numId w:val="1"/>
        </w:numPr>
        <w:tabs>
          <w:tab w:val="left" w:pos="565"/>
        </w:tabs>
      </w:pPr>
      <w:bookmarkStart w:id="14" w:name="bookmark14"/>
      <w:bookmarkEnd w:id="14"/>
      <w:r>
        <w:t>Smluvní strany se dohodly, že článek III odst. 1 Smlouvy se mění tak, že nově zní:</w:t>
      </w:r>
    </w:p>
    <w:p w14:paraId="17E713B1" w14:textId="77777777" w:rsidR="005C4A6F" w:rsidRDefault="001B7AE5">
      <w:pPr>
        <w:pStyle w:val="Bodytext10"/>
        <w:framePr w:w="9120" w:h="13027" w:hRule="exact" w:wrap="none" w:vAnchor="page" w:hAnchor="page" w:x="1434" w:y="1442"/>
        <w:numPr>
          <w:ilvl w:val="0"/>
          <w:numId w:val="2"/>
        </w:numPr>
        <w:tabs>
          <w:tab w:val="left" w:pos="1107"/>
        </w:tabs>
        <w:ind w:firstLine="560"/>
      </w:pPr>
      <w:bookmarkStart w:id="15" w:name="bookmark15"/>
      <w:bookmarkEnd w:id="15"/>
      <w:r>
        <w:rPr>
          <w:i/>
          <w:iCs/>
        </w:rPr>
        <w:t>Zhotovitel se zavazuje provést Dílo do 28. 2. 2025.</w:t>
      </w:r>
    </w:p>
    <w:p w14:paraId="16EB38FB" w14:textId="77777777" w:rsidR="005C4A6F" w:rsidRDefault="001B7AE5">
      <w:pPr>
        <w:pStyle w:val="Bodytext10"/>
        <w:framePr w:w="9120" w:h="13027" w:hRule="exact" w:wrap="none" w:vAnchor="page" w:hAnchor="page" w:x="1434" w:y="1442"/>
        <w:numPr>
          <w:ilvl w:val="0"/>
          <w:numId w:val="2"/>
        </w:numPr>
        <w:tabs>
          <w:tab w:val="left" w:pos="565"/>
        </w:tabs>
        <w:spacing w:after="0"/>
        <w:ind w:left="560" w:hanging="560"/>
      </w:pPr>
      <w:bookmarkStart w:id="16" w:name="bookmark16"/>
      <w:bookmarkEnd w:id="16"/>
      <w:r>
        <w:t>V ostatním nežli výše uvedeném, zůstává Smlouva nezměněna a nadále v platnosti a účinnosti.</w:t>
      </w:r>
    </w:p>
    <w:p w14:paraId="58F5BA31" w14:textId="77777777" w:rsidR="005C4A6F" w:rsidRDefault="001B7AE5">
      <w:pPr>
        <w:pStyle w:val="Headerorfooter10"/>
        <w:framePr w:wrap="none" w:vAnchor="page" w:hAnchor="page" w:x="5912" w:y="15641"/>
      </w:pPr>
      <w:r>
        <w:t>1</w:t>
      </w:r>
    </w:p>
    <w:p w14:paraId="65F4CECD" w14:textId="77777777" w:rsidR="005C4A6F" w:rsidRDefault="005C4A6F">
      <w:pPr>
        <w:spacing w:line="1" w:lineRule="exact"/>
        <w:sectPr w:rsidR="005C4A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AE88FA" w14:textId="77777777" w:rsidR="005C4A6F" w:rsidRDefault="005C4A6F">
      <w:pPr>
        <w:spacing w:line="1" w:lineRule="exact"/>
      </w:pPr>
    </w:p>
    <w:p w14:paraId="71C9DE58" w14:textId="77777777" w:rsidR="005C4A6F" w:rsidRDefault="001B7AE5">
      <w:pPr>
        <w:pStyle w:val="Heading210"/>
        <w:framePr w:w="9096" w:h="274" w:hRule="exact" w:wrap="none" w:vAnchor="page" w:hAnchor="page" w:x="1446" w:y="1447"/>
        <w:spacing w:after="0" w:line="240" w:lineRule="auto"/>
        <w:jc w:val="center"/>
      </w:pPr>
      <w:bookmarkStart w:id="17" w:name="bookmark17"/>
      <w:bookmarkStart w:id="18" w:name="bookmark18"/>
      <w:bookmarkStart w:id="19" w:name="bookmark19"/>
      <w:r>
        <w:t>IL</w:t>
      </w:r>
      <w:bookmarkEnd w:id="17"/>
      <w:bookmarkEnd w:id="18"/>
      <w:bookmarkEnd w:id="19"/>
    </w:p>
    <w:p w14:paraId="6863DC2A" w14:textId="77777777" w:rsidR="005C4A6F" w:rsidRDefault="001B7AE5">
      <w:pPr>
        <w:pStyle w:val="Bodytext10"/>
        <w:framePr w:w="9096" w:h="1728" w:hRule="exact" w:wrap="none" w:vAnchor="page" w:hAnchor="page" w:x="1446" w:y="1884"/>
        <w:numPr>
          <w:ilvl w:val="0"/>
          <w:numId w:val="3"/>
        </w:numPr>
        <w:tabs>
          <w:tab w:val="left" w:pos="542"/>
        </w:tabs>
        <w:spacing w:after="120"/>
        <w:ind w:left="580" w:hanging="580"/>
      </w:pPr>
      <w:bookmarkStart w:id="20" w:name="bookmark20"/>
      <w:bookmarkEnd w:id="20"/>
      <w:r>
        <w:t>Tento dodatek je vyhotoven ve třech (3) vyhotoveních, z nichž Objednatel obdrží dva (2) a Zhotovitel jedno (1) vyhotovení.</w:t>
      </w:r>
    </w:p>
    <w:p w14:paraId="5A021D62" w14:textId="4CE6F1E6" w:rsidR="005C4A6F" w:rsidRDefault="001B7AE5">
      <w:pPr>
        <w:pStyle w:val="Bodytext10"/>
        <w:framePr w:w="9096" w:h="1728" w:hRule="exact" w:wrap="none" w:vAnchor="page" w:hAnchor="page" w:x="1446" w:y="1884"/>
        <w:numPr>
          <w:ilvl w:val="0"/>
          <w:numId w:val="3"/>
        </w:numPr>
        <w:tabs>
          <w:tab w:val="left" w:pos="542"/>
        </w:tabs>
        <w:spacing w:after="0"/>
        <w:ind w:left="580" w:hanging="580"/>
      </w:pPr>
      <w:bookmarkStart w:id="21" w:name="bookmark21"/>
      <w:bookmarkEnd w:id="21"/>
      <w:r>
        <w:t xml:space="preserve">Smluvní strany </w:t>
      </w:r>
      <w:r>
        <w:t>prohlašují, že si tento dodatek pozorně přečetly, jeho obsahu plně porozuměly, že vyj</w:t>
      </w:r>
      <w:r>
        <w:t>adřuj</w:t>
      </w:r>
      <w:r>
        <w:t>e j</w:t>
      </w:r>
      <w:r>
        <w:t>ej</w:t>
      </w:r>
      <w:r>
        <w:t>ich pravou a svobodnou vůli prostou j</w:t>
      </w:r>
      <w:r>
        <w:t>akékoliv tísně či omylu, na důkaz čehož tento dodatek vlastnoručně podepisují.</w:t>
      </w:r>
    </w:p>
    <w:p w14:paraId="1E2E288C" w14:textId="62589AFC" w:rsidR="005C4A6F" w:rsidRDefault="001B7AE5">
      <w:pPr>
        <w:pStyle w:val="Bodytext10"/>
        <w:framePr w:wrap="none" w:vAnchor="page" w:hAnchor="page" w:x="1446" w:y="4049"/>
        <w:spacing w:after="0" w:line="240" w:lineRule="auto"/>
        <w:ind w:left="9"/>
      </w:pPr>
      <w:r>
        <w:t>V Praze dne</w:t>
      </w:r>
    </w:p>
    <w:p w14:paraId="6BD64492" w14:textId="64162A00" w:rsidR="005C4A6F" w:rsidRDefault="005C4A6F">
      <w:pPr>
        <w:framePr w:wrap="none" w:vAnchor="page" w:hAnchor="page" w:x="2041" w:y="4831"/>
        <w:rPr>
          <w:sz w:val="2"/>
          <w:szCs w:val="2"/>
        </w:rPr>
      </w:pPr>
    </w:p>
    <w:p w14:paraId="16117A58" w14:textId="541ABFDA" w:rsidR="005C4A6F" w:rsidRDefault="001B7AE5">
      <w:pPr>
        <w:pStyle w:val="Bodytext10"/>
        <w:framePr w:w="9096" w:h="1085" w:hRule="exact" w:wrap="none" w:vAnchor="page" w:hAnchor="page" w:x="1446" w:y="6218"/>
        <w:spacing w:after="0" w:line="240" w:lineRule="auto"/>
        <w:rPr>
          <w:sz w:val="26"/>
          <w:szCs w:val="26"/>
        </w:rPr>
      </w:pPr>
      <w:r>
        <w:rPr>
          <w:b/>
          <w:bCs/>
        </w:rPr>
        <w:t>Národní muzeum</w:t>
      </w:r>
    </w:p>
    <w:p w14:paraId="0F5501CF" w14:textId="64DA79B5" w:rsidR="005C4A6F" w:rsidRDefault="001B7AE5">
      <w:pPr>
        <w:pStyle w:val="Bodytext10"/>
        <w:framePr w:w="9096" w:h="1085" w:hRule="exact" w:wrap="none" w:vAnchor="page" w:hAnchor="page" w:x="1446" w:y="6218"/>
        <w:tabs>
          <w:tab w:val="left" w:pos="4104"/>
        </w:tabs>
        <w:spacing w:after="0" w:line="180" w:lineRule="auto"/>
        <w:rPr>
          <w:sz w:val="14"/>
          <w:szCs w:val="14"/>
        </w:rPr>
      </w:pPr>
      <w:r>
        <w:rPr>
          <w:i/>
          <w:iCs/>
        </w:rPr>
        <w:t>Ing. Rudolf Pohl, provozní náměstek</w:t>
      </w:r>
      <w:r>
        <w:rPr>
          <w:rFonts w:ascii="Arial" w:eastAsia="Arial" w:hAnsi="Arial" w:cs="Arial"/>
          <w:sz w:val="14"/>
          <w:szCs w:val="14"/>
        </w:rPr>
        <w:tab/>
      </w:r>
    </w:p>
    <w:p w14:paraId="02ED12DA" w14:textId="4F5A9C97" w:rsidR="005C4A6F" w:rsidRDefault="001B7AE5">
      <w:pPr>
        <w:pStyle w:val="Picturecaption10"/>
        <w:framePr w:wrap="none" w:vAnchor="page" w:hAnchor="page" w:x="6380" w:y="4116"/>
        <w:spacing w:after="0"/>
      </w:pPr>
      <w:r>
        <w:rPr>
          <w:i w:val="0"/>
          <w:iCs w:val="0"/>
        </w:rPr>
        <w:t xml:space="preserve">V Praze dne </w:t>
      </w:r>
    </w:p>
    <w:p w14:paraId="5BF8D3FD" w14:textId="4156232F" w:rsidR="005C4A6F" w:rsidRDefault="005C4A6F">
      <w:pPr>
        <w:framePr w:wrap="none" w:vAnchor="page" w:hAnchor="page" w:x="6404" w:y="4610"/>
        <w:rPr>
          <w:sz w:val="2"/>
          <w:szCs w:val="2"/>
        </w:rPr>
      </w:pPr>
    </w:p>
    <w:p w14:paraId="73E983DA" w14:textId="77777777" w:rsidR="005C4A6F" w:rsidRDefault="001B7AE5">
      <w:pPr>
        <w:pStyle w:val="Picturecaption10"/>
        <w:framePr w:w="3662" w:h="1162" w:hRule="exact" w:wrap="none" w:vAnchor="page" w:hAnchor="page" w:x="6371" w:y="6348"/>
      </w:pPr>
      <w:r>
        <w:rPr>
          <w:b/>
          <w:bCs/>
          <w:i w:val="0"/>
          <w:iCs w:val="0"/>
        </w:rPr>
        <w:t>FortiFox Technologies, a.s.</w:t>
      </w:r>
    </w:p>
    <w:p w14:paraId="60742519" w14:textId="77777777" w:rsidR="005C4A6F" w:rsidRDefault="001B7AE5">
      <w:pPr>
        <w:pStyle w:val="Picturecaption10"/>
        <w:framePr w:w="3662" w:h="1162" w:hRule="exact" w:wrap="none" w:vAnchor="page" w:hAnchor="page" w:x="6371" w:y="6348"/>
      </w:pPr>
      <w:r>
        <w:t>Miloš Vrábel, předseda správní rady</w:t>
      </w:r>
    </w:p>
    <w:p w14:paraId="62C0274B" w14:textId="77777777" w:rsidR="005C4A6F" w:rsidRDefault="001B7AE5">
      <w:pPr>
        <w:pStyle w:val="Picturecaption10"/>
        <w:framePr w:w="3662" w:h="1162" w:hRule="exact" w:wrap="none" w:vAnchor="page" w:hAnchor="page" w:x="6371" w:y="6348"/>
        <w:spacing w:after="0"/>
      </w:pPr>
      <w:r>
        <w:t>Ing. Ondřej Rolník, člen správní rady</w:t>
      </w:r>
    </w:p>
    <w:p w14:paraId="7CE43082" w14:textId="77777777" w:rsidR="005C4A6F" w:rsidRDefault="001B7AE5">
      <w:pPr>
        <w:pStyle w:val="Headerorfooter10"/>
        <w:framePr w:wrap="none" w:vAnchor="page" w:hAnchor="page" w:x="5891" w:y="15631"/>
      </w:pPr>
      <w:r>
        <w:t>2</w:t>
      </w:r>
    </w:p>
    <w:p w14:paraId="5925F5F9" w14:textId="77777777" w:rsidR="005C4A6F" w:rsidRDefault="005C4A6F">
      <w:pPr>
        <w:spacing w:line="1" w:lineRule="exact"/>
      </w:pPr>
    </w:p>
    <w:sectPr w:rsidR="005C4A6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E9E0E" w14:textId="77777777" w:rsidR="001B7AE5" w:rsidRDefault="001B7AE5">
      <w:r>
        <w:separator/>
      </w:r>
    </w:p>
  </w:endnote>
  <w:endnote w:type="continuationSeparator" w:id="0">
    <w:p w14:paraId="18CBC90F" w14:textId="77777777" w:rsidR="001B7AE5" w:rsidRDefault="001B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EDF5C" w14:textId="77777777" w:rsidR="005C4A6F" w:rsidRDefault="005C4A6F"/>
  </w:footnote>
  <w:footnote w:type="continuationSeparator" w:id="0">
    <w:p w14:paraId="0BAD94E1" w14:textId="77777777" w:rsidR="005C4A6F" w:rsidRDefault="005C4A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2486"/>
    <w:multiLevelType w:val="multilevel"/>
    <w:tmpl w:val="C576B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D32275"/>
    <w:multiLevelType w:val="multilevel"/>
    <w:tmpl w:val="5540F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183D53"/>
    <w:multiLevelType w:val="multilevel"/>
    <w:tmpl w:val="D4E61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6769614">
    <w:abstractNumId w:val="1"/>
  </w:num>
  <w:num w:numId="2" w16cid:durableId="1685131872">
    <w:abstractNumId w:val="0"/>
  </w:num>
  <w:num w:numId="3" w16cid:durableId="37127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6F"/>
    <w:rsid w:val="001B7AE5"/>
    <w:rsid w:val="00463683"/>
    <w:rsid w:val="005C4A6F"/>
    <w:rsid w:val="00705150"/>
    <w:rsid w:val="00B7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2F29"/>
  <w15:docId w15:val="{04777BD5-CD09-471B-B3DC-B8AAA4DF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8BEA1"/>
      <w:sz w:val="15"/>
      <w:szCs w:val="15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100" w:line="300" w:lineRule="auto"/>
      <w:outlineLvl w:val="1"/>
    </w:pPr>
    <w:rPr>
      <w:b/>
      <w:bCs/>
      <w:sz w:val="22"/>
      <w:szCs w:val="22"/>
    </w:rPr>
  </w:style>
  <w:style w:type="paragraph" w:customStyle="1" w:styleId="Bodytext10">
    <w:name w:val="Body text|1"/>
    <w:basedOn w:val="Normln"/>
    <w:link w:val="Bodytext1"/>
    <w:pPr>
      <w:spacing w:after="100" w:line="300" w:lineRule="auto"/>
    </w:pPr>
    <w:rPr>
      <w:sz w:val="22"/>
      <w:szCs w:val="22"/>
    </w:rPr>
  </w:style>
  <w:style w:type="paragraph" w:customStyle="1" w:styleId="Heading110">
    <w:name w:val="Heading #1|1"/>
    <w:basedOn w:val="Normln"/>
    <w:link w:val="Heading11"/>
    <w:pPr>
      <w:spacing w:after="640"/>
      <w:jc w:val="center"/>
      <w:outlineLvl w:val="0"/>
    </w:pPr>
    <w:rPr>
      <w:b/>
      <w:bCs/>
      <w:sz w:val="34"/>
      <w:szCs w:val="34"/>
    </w:rPr>
  </w:style>
  <w:style w:type="paragraph" w:customStyle="1" w:styleId="Headerorfooter10">
    <w:name w:val="Header or footer|1"/>
    <w:basedOn w:val="Normln"/>
    <w:link w:val="Headerorfooter1"/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430"/>
      <w:ind w:left="2590"/>
    </w:pPr>
    <w:rPr>
      <w:rFonts w:ascii="Arial" w:eastAsia="Arial" w:hAnsi="Arial" w:cs="Arial"/>
      <w:color w:val="48BEA1"/>
      <w:sz w:val="15"/>
      <w:szCs w:val="15"/>
    </w:rPr>
  </w:style>
  <w:style w:type="paragraph" w:customStyle="1" w:styleId="Picturecaption10">
    <w:name w:val="Picture caption|1"/>
    <w:basedOn w:val="Normln"/>
    <w:link w:val="Picturecaption1"/>
    <w:pPr>
      <w:spacing w:after="180"/>
    </w:pPr>
    <w:rPr>
      <w:i/>
      <w:iCs/>
      <w:sz w:val="22"/>
      <w:szCs w:val="22"/>
    </w:rPr>
  </w:style>
  <w:style w:type="paragraph" w:customStyle="1" w:styleId="Bodytext40">
    <w:name w:val="Body text|4"/>
    <w:basedOn w:val="Normln"/>
    <w:link w:val="Bodytext4"/>
    <w:pPr>
      <w:jc w:val="center"/>
    </w:pPr>
    <w:rPr>
      <w:rFonts w:ascii="Arial" w:eastAsia="Arial" w:hAnsi="Arial" w:cs="Arial"/>
      <w:sz w:val="26"/>
      <w:szCs w:val="26"/>
    </w:rPr>
  </w:style>
  <w:style w:type="paragraph" w:customStyle="1" w:styleId="Bodytext20">
    <w:name w:val="Body text|2"/>
    <w:basedOn w:val="Normln"/>
    <w:link w:val="Bodytext2"/>
    <w:pPr>
      <w:spacing w:after="260"/>
      <w:ind w:left="200" w:firstLine="700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260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4</cp:revision>
  <dcterms:created xsi:type="dcterms:W3CDTF">2024-11-27T13:59:00Z</dcterms:created>
  <dcterms:modified xsi:type="dcterms:W3CDTF">2024-11-28T09:28:00Z</dcterms:modified>
</cp:coreProperties>
</file>