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A46B" w14:textId="77777777" w:rsidR="00DD1FE5" w:rsidRDefault="00DD1FE5" w:rsidP="00DD1FE5">
      <w:pPr>
        <w:spacing w:line="100" w:lineRule="atLeast"/>
        <w:jc w:val="center"/>
        <w:rPr>
          <w:rFonts w:ascii="Tahoma" w:hAnsi="Tahoma" w:cs="Calibri"/>
          <w:b/>
          <w:bCs/>
          <w:sz w:val="28"/>
          <w:szCs w:val="28"/>
          <w:u w:val="single"/>
        </w:rPr>
      </w:pPr>
      <w:r w:rsidRPr="00DD1FE5">
        <w:rPr>
          <w:rFonts w:ascii="Tahoma" w:hAnsi="Tahoma" w:cs="Calibri"/>
          <w:b/>
          <w:bCs/>
          <w:sz w:val="28"/>
          <w:szCs w:val="28"/>
          <w:u w:val="single"/>
        </w:rPr>
        <w:t>Dodatek č. 1 k Rámcové příkazní smlouvě o poskytování technické pomoci a služeb ze dne 22. srpna 2023</w:t>
      </w:r>
    </w:p>
    <w:p w14:paraId="2A7C5022" w14:textId="77777777" w:rsidR="00DD1FE5" w:rsidRPr="00DD1FE5" w:rsidRDefault="00DD1FE5" w:rsidP="00DD1FE5">
      <w:pPr>
        <w:spacing w:line="100" w:lineRule="atLeast"/>
        <w:jc w:val="center"/>
        <w:rPr>
          <w:rFonts w:ascii="Tahoma" w:hAnsi="Tahoma" w:cs="Calibri"/>
          <w:b/>
          <w:bCs/>
          <w:sz w:val="28"/>
          <w:szCs w:val="28"/>
          <w:u w:val="single"/>
        </w:rPr>
      </w:pPr>
    </w:p>
    <w:p w14:paraId="5A2BF724" w14:textId="77777777" w:rsidR="008B1CDE" w:rsidRPr="009D679E" w:rsidRDefault="00297CC1" w:rsidP="00DD1FE5">
      <w:pPr>
        <w:numPr>
          <w:ilvl w:val="0"/>
          <w:numId w:val="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b/>
          <w:sz w:val="22"/>
          <w:szCs w:val="22"/>
        </w:rPr>
        <w:t>Moravskoslezské Investice a Development, a.s.</w:t>
      </w:r>
    </w:p>
    <w:p w14:paraId="63B50202" w14:textId="1229AC57" w:rsidR="008B1CDE" w:rsidRPr="009D679E" w:rsidRDefault="00297CC1">
      <w:p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62944393">
        <w:rPr>
          <w:rFonts w:ascii="Tahoma" w:hAnsi="Tahoma" w:cs="Tahoma"/>
          <w:sz w:val="22"/>
          <w:szCs w:val="22"/>
        </w:rPr>
        <w:t>se sídlem:</w:t>
      </w:r>
      <w:r w:rsidR="5365B5FC" w:rsidRPr="62944393">
        <w:rPr>
          <w:rFonts w:ascii="Tahoma" w:hAnsi="Tahoma" w:cs="Tahoma"/>
          <w:sz w:val="22"/>
          <w:szCs w:val="22"/>
        </w:rPr>
        <w:t xml:space="preserve"> </w:t>
      </w:r>
      <w:r w:rsidRPr="62944393">
        <w:rPr>
          <w:rFonts w:ascii="Tahoma" w:hAnsi="Tahoma" w:cs="Tahoma"/>
          <w:sz w:val="22"/>
          <w:szCs w:val="22"/>
        </w:rPr>
        <w:t>Na Jízdárně 7/1245, 702 00 Ostrava</w:t>
      </w:r>
    </w:p>
    <w:p w14:paraId="321AF014" w14:textId="7BCC2233" w:rsidR="008B1CDE" w:rsidRPr="009D679E" w:rsidRDefault="00297CC1">
      <w:p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62944393">
        <w:rPr>
          <w:rFonts w:ascii="Tahoma" w:hAnsi="Tahoma" w:cs="Tahoma"/>
          <w:sz w:val="22"/>
          <w:szCs w:val="22"/>
        </w:rPr>
        <w:t>zastoupen:</w:t>
      </w:r>
      <w:r w:rsidR="5145CEE5" w:rsidRPr="62944393">
        <w:rPr>
          <w:rFonts w:ascii="Tahoma" w:hAnsi="Tahoma" w:cs="Tahoma"/>
          <w:sz w:val="22"/>
          <w:szCs w:val="22"/>
        </w:rPr>
        <w:t xml:space="preserve"> </w:t>
      </w:r>
      <w:r w:rsidRPr="62944393">
        <w:rPr>
          <w:rFonts w:ascii="Tahoma" w:hAnsi="Tahoma" w:cs="Tahoma"/>
          <w:sz w:val="22"/>
          <w:szCs w:val="22"/>
        </w:rPr>
        <w:t>Ing. Václav Palička, předseda představenstva</w:t>
      </w:r>
    </w:p>
    <w:p w14:paraId="4E78F194" w14:textId="66707258" w:rsidR="008B1CDE" w:rsidRPr="009D679E" w:rsidRDefault="1E5EFD7B" w:rsidP="62944393">
      <w:pPr>
        <w:tabs>
          <w:tab w:val="left" w:pos="2977"/>
        </w:tabs>
        <w:ind w:left="357" w:firstLine="709"/>
        <w:jc w:val="both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sz w:val="22"/>
          <w:szCs w:val="22"/>
        </w:rPr>
        <w:t xml:space="preserve">      </w:t>
      </w:r>
      <w:r w:rsidR="00297CC1" w:rsidRPr="009D679E">
        <w:rPr>
          <w:rFonts w:ascii="Tahoma" w:hAnsi="Tahoma" w:cs="Tahoma"/>
          <w:sz w:val="22"/>
          <w:szCs w:val="22"/>
        </w:rPr>
        <w:t>Mgr. Petr Birklen, člen představenstva</w:t>
      </w:r>
    </w:p>
    <w:p w14:paraId="274E2176" w14:textId="33A1AE01" w:rsidR="008B1CDE" w:rsidRPr="009D679E" w:rsidRDefault="00297CC1">
      <w:p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sz w:val="22"/>
          <w:szCs w:val="22"/>
        </w:rPr>
        <w:t>IČO:</w:t>
      </w:r>
      <w:r w:rsidR="00A06208" w:rsidRPr="009D679E">
        <w:rPr>
          <w:rFonts w:ascii="Tahoma" w:hAnsi="Tahoma" w:cs="Tahoma"/>
          <w:sz w:val="22"/>
          <w:szCs w:val="22"/>
        </w:rPr>
        <w:t xml:space="preserve"> </w:t>
      </w:r>
      <w:r w:rsidRPr="009D679E">
        <w:rPr>
          <w:rFonts w:ascii="Tahoma" w:hAnsi="Tahoma" w:cs="Tahoma"/>
          <w:sz w:val="22"/>
          <w:szCs w:val="22"/>
        </w:rPr>
        <w:t>47673168</w:t>
      </w:r>
      <w:r w:rsidR="00A06208" w:rsidRPr="009D679E">
        <w:rPr>
          <w:rFonts w:ascii="Tahoma" w:hAnsi="Tahoma" w:cs="Tahoma"/>
          <w:sz w:val="22"/>
          <w:szCs w:val="22"/>
        </w:rPr>
        <w:t xml:space="preserve">, </w:t>
      </w:r>
      <w:r w:rsidRPr="009D679E">
        <w:rPr>
          <w:rFonts w:ascii="Tahoma" w:hAnsi="Tahoma" w:cs="Tahoma"/>
          <w:sz w:val="22"/>
          <w:szCs w:val="22"/>
        </w:rPr>
        <w:t>DIČ:</w:t>
      </w:r>
      <w:r w:rsidR="00A06208" w:rsidRPr="009D679E">
        <w:rPr>
          <w:rFonts w:ascii="Tahoma" w:hAnsi="Tahoma" w:cs="Tahoma"/>
          <w:sz w:val="22"/>
          <w:szCs w:val="22"/>
        </w:rPr>
        <w:t xml:space="preserve"> </w:t>
      </w:r>
      <w:r w:rsidRPr="009D679E">
        <w:rPr>
          <w:rFonts w:ascii="Tahoma" w:hAnsi="Tahoma" w:cs="Tahoma"/>
          <w:sz w:val="22"/>
          <w:szCs w:val="22"/>
        </w:rPr>
        <w:t>CZ747673168</w:t>
      </w:r>
    </w:p>
    <w:p w14:paraId="6D9113E1" w14:textId="5A4F60B3" w:rsidR="0074118C" w:rsidRPr="009D679E" w:rsidRDefault="0074118C">
      <w:p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sz w:val="22"/>
          <w:szCs w:val="22"/>
        </w:rPr>
        <w:t>Zapsána v OR KS v Ostravě – oddíl B, vložka 609</w:t>
      </w:r>
    </w:p>
    <w:p w14:paraId="02DBD54A" w14:textId="4E18E9E5" w:rsidR="0074118C" w:rsidRPr="009D679E" w:rsidRDefault="00297CC1" w:rsidP="0074118C">
      <w:p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62944393">
        <w:rPr>
          <w:rFonts w:ascii="Tahoma" w:hAnsi="Tahoma" w:cs="Tahoma"/>
          <w:sz w:val="22"/>
          <w:szCs w:val="22"/>
        </w:rPr>
        <w:t xml:space="preserve">bankovní </w:t>
      </w:r>
      <w:proofErr w:type="gramStart"/>
      <w:r w:rsidRPr="62944393">
        <w:rPr>
          <w:rFonts w:ascii="Tahoma" w:hAnsi="Tahoma" w:cs="Tahoma"/>
          <w:sz w:val="22"/>
          <w:szCs w:val="22"/>
        </w:rPr>
        <w:t xml:space="preserve">spojení: </w:t>
      </w:r>
      <w:r w:rsidR="202C0A27" w:rsidRPr="62944393">
        <w:rPr>
          <w:rFonts w:ascii="Tahoma" w:hAnsi="Tahoma" w:cs="Tahoma"/>
          <w:sz w:val="22"/>
          <w:szCs w:val="22"/>
        </w:rPr>
        <w:t xml:space="preserve"> </w:t>
      </w:r>
      <w:r w:rsidRPr="62944393">
        <w:rPr>
          <w:rFonts w:ascii="Tahoma" w:hAnsi="Tahoma" w:cs="Tahoma"/>
          <w:sz w:val="22"/>
          <w:szCs w:val="22"/>
        </w:rPr>
        <w:t>ČSOB</w:t>
      </w:r>
      <w:proofErr w:type="gramEnd"/>
      <w:r w:rsidR="0074118C" w:rsidRPr="62944393">
        <w:rPr>
          <w:rFonts w:ascii="Tahoma" w:hAnsi="Tahoma" w:cs="Tahoma"/>
          <w:sz w:val="22"/>
          <w:szCs w:val="22"/>
        </w:rPr>
        <w:t xml:space="preserve">, a.s., </w:t>
      </w:r>
      <w:proofErr w:type="spellStart"/>
      <w:r w:rsidR="0074118C" w:rsidRPr="62944393">
        <w:rPr>
          <w:rFonts w:ascii="Tahoma" w:hAnsi="Tahoma" w:cs="Tahoma"/>
          <w:sz w:val="22"/>
          <w:szCs w:val="22"/>
        </w:rPr>
        <w:t>č.ú</w:t>
      </w:r>
      <w:proofErr w:type="spellEnd"/>
      <w:r w:rsidR="0074118C" w:rsidRPr="62944393">
        <w:rPr>
          <w:rFonts w:ascii="Tahoma" w:hAnsi="Tahoma" w:cs="Tahoma"/>
          <w:sz w:val="22"/>
          <w:szCs w:val="22"/>
        </w:rPr>
        <w:t>. 373791183/0300</w:t>
      </w:r>
    </w:p>
    <w:p w14:paraId="72F327C3" w14:textId="032378BE" w:rsidR="008B1CDE" w:rsidRPr="009D679E" w:rsidRDefault="00297CC1" w:rsidP="0074118C">
      <w:p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sz w:val="22"/>
          <w:szCs w:val="22"/>
        </w:rPr>
        <w:t>(dále jen „</w:t>
      </w:r>
      <w:r w:rsidRPr="009D679E">
        <w:rPr>
          <w:rFonts w:ascii="Tahoma" w:hAnsi="Tahoma" w:cs="Tahoma"/>
          <w:b/>
          <w:bCs/>
          <w:sz w:val="22"/>
          <w:szCs w:val="22"/>
        </w:rPr>
        <w:t>objednatel“</w:t>
      </w:r>
      <w:r w:rsidRPr="009D679E">
        <w:rPr>
          <w:rFonts w:ascii="Tahoma" w:hAnsi="Tahoma" w:cs="Tahoma"/>
          <w:sz w:val="22"/>
          <w:szCs w:val="22"/>
        </w:rPr>
        <w:t>)</w:t>
      </w:r>
    </w:p>
    <w:p w14:paraId="75496A09" w14:textId="0273B46B" w:rsidR="008B1CDE" w:rsidRPr="009D679E" w:rsidRDefault="0074118C" w:rsidP="00DD1FE5">
      <w:pPr>
        <w:numPr>
          <w:ilvl w:val="0"/>
          <w:numId w:val="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b/>
          <w:sz w:val="22"/>
          <w:szCs w:val="22"/>
        </w:rPr>
        <w:t>INKOS-OSTRAVA, a.s.</w:t>
      </w:r>
    </w:p>
    <w:p w14:paraId="1C75C166" w14:textId="0944EE0F" w:rsidR="008B1CDE" w:rsidRPr="009D679E" w:rsidRDefault="00297CC1">
      <w:pPr>
        <w:ind w:left="360"/>
        <w:rPr>
          <w:rFonts w:ascii="Tahoma" w:hAnsi="Tahoma" w:cs="Tahoma"/>
          <w:sz w:val="22"/>
          <w:szCs w:val="22"/>
        </w:rPr>
      </w:pPr>
      <w:r w:rsidRPr="62944393">
        <w:rPr>
          <w:rFonts w:ascii="Tahoma" w:hAnsi="Tahoma" w:cs="Tahoma"/>
          <w:sz w:val="22"/>
          <w:szCs w:val="22"/>
        </w:rPr>
        <w:t xml:space="preserve">se sídlem: </w:t>
      </w:r>
      <w:r w:rsidR="0074118C" w:rsidRPr="62944393">
        <w:rPr>
          <w:rFonts w:ascii="Tahoma" w:hAnsi="Tahoma" w:cs="Tahoma"/>
          <w:sz w:val="22"/>
          <w:szCs w:val="22"/>
        </w:rPr>
        <w:t>Havlíčkovo nábřeží 696/22, Moravská Ostrava, 701 52 Ostrava</w:t>
      </w:r>
    </w:p>
    <w:p w14:paraId="6C892FB5" w14:textId="2D152CB8" w:rsidR="008B1CDE" w:rsidRPr="009D679E" w:rsidRDefault="00297CC1">
      <w:pPr>
        <w:ind w:left="360"/>
        <w:rPr>
          <w:rFonts w:ascii="Tahoma" w:hAnsi="Tahoma" w:cs="Tahoma"/>
          <w:sz w:val="22"/>
          <w:szCs w:val="22"/>
        </w:rPr>
      </w:pPr>
      <w:r w:rsidRPr="62944393">
        <w:rPr>
          <w:rFonts w:ascii="Tahoma" w:hAnsi="Tahoma" w:cs="Tahoma"/>
          <w:sz w:val="22"/>
          <w:szCs w:val="22"/>
        </w:rPr>
        <w:t xml:space="preserve">zastoupena: </w:t>
      </w:r>
      <w:r w:rsidR="2CAFAFC5" w:rsidRPr="62944393">
        <w:rPr>
          <w:rFonts w:ascii="Tahoma" w:hAnsi="Tahoma" w:cs="Tahoma"/>
          <w:sz w:val="22"/>
          <w:szCs w:val="22"/>
        </w:rPr>
        <w:t>XXX</w:t>
      </w:r>
      <w:r>
        <w:tab/>
      </w:r>
      <w:r>
        <w:tab/>
      </w:r>
    </w:p>
    <w:p w14:paraId="2654345E" w14:textId="3B1647F7" w:rsidR="008B1CDE" w:rsidRPr="009D679E" w:rsidRDefault="00297CC1">
      <w:pPr>
        <w:ind w:left="360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sz w:val="22"/>
          <w:szCs w:val="22"/>
        </w:rPr>
        <w:t>IČO:</w:t>
      </w:r>
      <w:r w:rsidR="00A06208" w:rsidRPr="009D679E">
        <w:rPr>
          <w:rFonts w:ascii="Tahoma" w:hAnsi="Tahoma" w:cs="Tahoma"/>
          <w:sz w:val="22"/>
          <w:szCs w:val="22"/>
        </w:rPr>
        <w:t xml:space="preserve"> </w:t>
      </w:r>
      <w:r w:rsidR="0074118C" w:rsidRPr="009D679E">
        <w:rPr>
          <w:rFonts w:ascii="Tahoma" w:hAnsi="Tahoma" w:cs="Tahoma"/>
          <w:sz w:val="22"/>
          <w:szCs w:val="22"/>
        </w:rPr>
        <w:t>48394637</w:t>
      </w:r>
      <w:r w:rsidR="00A06208" w:rsidRPr="009D679E">
        <w:rPr>
          <w:rFonts w:ascii="Tahoma" w:hAnsi="Tahoma" w:cs="Tahoma"/>
          <w:sz w:val="22"/>
          <w:szCs w:val="22"/>
        </w:rPr>
        <w:t xml:space="preserve">, </w:t>
      </w:r>
      <w:r w:rsidRPr="009D679E">
        <w:rPr>
          <w:rFonts w:ascii="Tahoma" w:hAnsi="Tahoma" w:cs="Tahoma"/>
          <w:sz w:val="22"/>
          <w:szCs w:val="22"/>
        </w:rPr>
        <w:t>DIČ: CZ</w:t>
      </w:r>
      <w:r w:rsidR="0074118C" w:rsidRPr="009D679E">
        <w:rPr>
          <w:rFonts w:ascii="Tahoma" w:hAnsi="Tahoma" w:cs="Tahoma"/>
          <w:sz w:val="22"/>
          <w:szCs w:val="22"/>
        </w:rPr>
        <w:t>48394637</w:t>
      </w:r>
    </w:p>
    <w:p w14:paraId="5DF8C7B3" w14:textId="5B7341FD" w:rsidR="0074118C" w:rsidRPr="009D679E" w:rsidRDefault="0074118C" w:rsidP="0074118C">
      <w:p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sz w:val="22"/>
          <w:szCs w:val="22"/>
        </w:rPr>
        <w:t>Zapsána v OR KS v Ostravě – oddíl B, vložka 4364</w:t>
      </w:r>
    </w:p>
    <w:p w14:paraId="000B8D46" w14:textId="4E3C44E1" w:rsidR="0074118C" w:rsidRPr="009D679E" w:rsidRDefault="00297CC1" w:rsidP="62944393">
      <w:pPr>
        <w:ind w:left="357"/>
        <w:rPr>
          <w:rFonts w:ascii="Tahoma" w:hAnsi="Tahoma" w:cs="Tahoma"/>
          <w:sz w:val="22"/>
          <w:szCs w:val="22"/>
        </w:rPr>
      </w:pPr>
      <w:r w:rsidRPr="62944393">
        <w:rPr>
          <w:rFonts w:ascii="Tahoma" w:hAnsi="Tahoma" w:cs="Tahoma"/>
          <w:sz w:val="22"/>
          <w:szCs w:val="22"/>
        </w:rPr>
        <w:t>bankovní spojení:</w:t>
      </w:r>
      <w:r>
        <w:tab/>
      </w:r>
      <w:r>
        <w:tab/>
      </w:r>
      <w:r w:rsidR="2DBB88A3" w:rsidRPr="62944393">
        <w:rPr>
          <w:rFonts w:ascii="Tahoma" w:hAnsi="Tahoma" w:cs="Tahoma"/>
          <w:sz w:val="22"/>
          <w:szCs w:val="22"/>
        </w:rPr>
        <w:t>XXX</w:t>
      </w:r>
    </w:p>
    <w:p w14:paraId="64EB7628" w14:textId="3813B269" w:rsidR="008B1CDE" w:rsidRPr="009D679E" w:rsidRDefault="00297CC1" w:rsidP="0074118C">
      <w:pPr>
        <w:ind w:left="360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sz w:val="22"/>
          <w:szCs w:val="22"/>
        </w:rPr>
        <w:t>(dále jen „</w:t>
      </w:r>
      <w:r w:rsidR="0074118C" w:rsidRPr="009D679E">
        <w:rPr>
          <w:rFonts w:ascii="Tahoma" w:hAnsi="Tahoma" w:cs="Tahoma"/>
          <w:b/>
          <w:bCs/>
          <w:sz w:val="22"/>
          <w:szCs w:val="22"/>
        </w:rPr>
        <w:t>poskytovatel</w:t>
      </w:r>
      <w:r w:rsidRPr="009D679E">
        <w:rPr>
          <w:rFonts w:ascii="Tahoma" w:hAnsi="Tahoma" w:cs="Tahoma"/>
          <w:sz w:val="22"/>
          <w:szCs w:val="22"/>
        </w:rPr>
        <w:t>“)</w:t>
      </w:r>
    </w:p>
    <w:p w14:paraId="3820D88A" w14:textId="77777777" w:rsidR="008B1CDE" w:rsidRPr="009D679E" w:rsidRDefault="008B1CDE">
      <w:pPr>
        <w:rPr>
          <w:rFonts w:ascii="Tahoma" w:hAnsi="Tahoma" w:cs="Calibri"/>
          <w:sz w:val="22"/>
          <w:szCs w:val="22"/>
        </w:rPr>
      </w:pPr>
    </w:p>
    <w:p w14:paraId="5F1FF136" w14:textId="77777777" w:rsidR="008B1CDE" w:rsidRPr="009D679E" w:rsidRDefault="00297CC1">
      <w:pPr>
        <w:jc w:val="both"/>
        <w:rPr>
          <w:rFonts w:ascii="Tahoma" w:hAnsi="Tahoma" w:cs="Calibri"/>
          <w:sz w:val="22"/>
          <w:szCs w:val="22"/>
        </w:rPr>
      </w:pPr>
      <w:r w:rsidRPr="009D679E">
        <w:rPr>
          <w:rFonts w:ascii="Tahoma" w:hAnsi="Tahoma" w:cs="Calibri"/>
          <w:sz w:val="22"/>
          <w:szCs w:val="22"/>
        </w:rPr>
        <w:t>společně také jako „</w:t>
      </w:r>
      <w:r w:rsidRPr="009D679E">
        <w:rPr>
          <w:rFonts w:ascii="Tahoma" w:hAnsi="Tahoma" w:cs="Calibri"/>
          <w:b/>
          <w:bCs/>
          <w:sz w:val="22"/>
          <w:szCs w:val="22"/>
        </w:rPr>
        <w:t>smluvní strany</w:t>
      </w:r>
      <w:r w:rsidRPr="009D679E">
        <w:rPr>
          <w:rFonts w:ascii="Tahoma" w:hAnsi="Tahoma" w:cs="Calibri"/>
          <w:sz w:val="22"/>
          <w:szCs w:val="22"/>
        </w:rPr>
        <w:t>“ uzavírají po vzájemné dohodě níže uvedeného dne, měsíce a roku následující</w:t>
      </w:r>
    </w:p>
    <w:p w14:paraId="67757E9B" w14:textId="77777777" w:rsidR="008B1CDE" w:rsidRPr="009D679E" w:rsidRDefault="008B1CDE">
      <w:pPr>
        <w:spacing w:line="100" w:lineRule="atLeast"/>
        <w:rPr>
          <w:rFonts w:ascii="Tahoma" w:hAnsi="Tahoma" w:cs="Calibri"/>
          <w:sz w:val="22"/>
          <w:szCs w:val="22"/>
        </w:rPr>
      </w:pPr>
    </w:p>
    <w:p w14:paraId="6830BD05" w14:textId="77777777" w:rsidR="00DD1FE5" w:rsidRDefault="00297CC1">
      <w:pPr>
        <w:spacing w:line="100" w:lineRule="atLeast"/>
        <w:jc w:val="center"/>
        <w:rPr>
          <w:rFonts w:ascii="Tahoma" w:hAnsi="Tahoma" w:cs="Calibri"/>
          <w:b/>
          <w:bCs/>
          <w:sz w:val="22"/>
          <w:szCs w:val="22"/>
          <w:u w:val="single"/>
        </w:rPr>
      </w:pPr>
      <w:r w:rsidRPr="009D679E">
        <w:rPr>
          <w:rFonts w:ascii="Tahoma" w:hAnsi="Tahoma" w:cs="Calibri"/>
          <w:b/>
          <w:bCs/>
          <w:sz w:val="22"/>
          <w:szCs w:val="22"/>
          <w:u w:val="single"/>
        </w:rPr>
        <w:t>Dodatek č. 1 k</w:t>
      </w:r>
      <w:r w:rsidR="0074118C" w:rsidRPr="009D679E">
        <w:rPr>
          <w:rFonts w:ascii="Tahoma" w:hAnsi="Tahoma" w:cs="Calibri"/>
          <w:b/>
          <w:bCs/>
          <w:sz w:val="22"/>
          <w:szCs w:val="22"/>
          <w:u w:val="single"/>
        </w:rPr>
        <w:t> </w:t>
      </w:r>
    </w:p>
    <w:p w14:paraId="4E490B85" w14:textId="7E1AE0D8" w:rsidR="008B1CDE" w:rsidRDefault="0074118C">
      <w:pPr>
        <w:spacing w:line="100" w:lineRule="atLeast"/>
        <w:jc w:val="center"/>
        <w:rPr>
          <w:rFonts w:ascii="Tahoma" w:hAnsi="Tahoma" w:cs="Calibri"/>
          <w:b/>
          <w:bCs/>
          <w:sz w:val="22"/>
          <w:szCs w:val="22"/>
          <w:u w:val="single"/>
        </w:rPr>
      </w:pPr>
      <w:r w:rsidRPr="009D679E">
        <w:rPr>
          <w:rFonts w:ascii="Tahoma" w:hAnsi="Tahoma" w:cs="Calibri"/>
          <w:b/>
          <w:bCs/>
          <w:sz w:val="22"/>
          <w:szCs w:val="22"/>
          <w:u w:val="single"/>
        </w:rPr>
        <w:t xml:space="preserve">Rámcové příkazní smlouvě o poskytování technické pomoci a služeb ze dne </w:t>
      </w:r>
      <w:r w:rsidR="004922FB">
        <w:rPr>
          <w:rFonts w:ascii="Tahoma" w:hAnsi="Tahoma" w:cs="Calibri"/>
          <w:b/>
          <w:bCs/>
          <w:sz w:val="22"/>
          <w:szCs w:val="22"/>
          <w:u w:val="single"/>
        </w:rPr>
        <w:t>22</w:t>
      </w:r>
      <w:r w:rsidRPr="009D679E">
        <w:rPr>
          <w:rFonts w:ascii="Tahoma" w:hAnsi="Tahoma" w:cs="Calibri"/>
          <w:b/>
          <w:bCs/>
          <w:sz w:val="22"/>
          <w:szCs w:val="22"/>
          <w:u w:val="single"/>
        </w:rPr>
        <w:t>. srpna 2023</w:t>
      </w:r>
    </w:p>
    <w:p w14:paraId="45290432" w14:textId="13625669" w:rsidR="00DD1FE5" w:rsidRPr="00DD1FE5" w:rsidRDefault="00DD1FE5">
      <w:pPr>
        <w:spacing w:line="100" w:lineRule="atLeast"/>
        <w:jc w:val="center"/>
        <w:rPr>
          <w:rFonts w:ascii="Tahoma" w:hAnsi="Tahoma" w:cs="Calibri"/>
          <w:b/>
          <w:bCs/>
          <w:sz w:val="22"/>
          <w:szCs w:val="22"/>
        </w:rPr>
      </w:pPr>
      <w:r w:rsidRPr="00DD1FE5">
        <w:rPr>
          <w:rFonts w:ascii="Tahoma" w:hAnsi="Tahoma" w:cs="Calibri"/>
          <w:b/>
          <w:bCs/>
          <w:sz w:val="22"/>
          <w:szCs w:val="22"/>
        </w:rPr>
        <w:t xml:space="preserve">(dále také jen </w:t>
      </w:r>
      <w:r>
        <w:rPr>
          <w:rFonts w:ascii="Tahoma" w:hAnsi="Tahoma" w:cs="Calibri"/>
          <w:b/>
          <w:bCs/>
          <w:sz w:val="22"/>
          <w:szCs w:val="22"/>
        </w:rPr>
        <w:t>„Dodatek č. 1“)</w:t>
      </w:r>
    </w:p>
    <w:p w14:paraId="634BBC4A" w14:textId="77777777" w:rsidR="008B1CDE" w:rsidRPr="009D679E" w:rsidRDefault="008B1CDE">
      <w:pPr>
        <w:spacing w:line="100" w:lineRule="atLeast"/>
        <w:jc w:val="both"/>
        <w:rPr>
          <w:rFonts w:ascii="Tahoma" w:hAnsi="Tahoma" w:cs="Calibri"/>
          <w:sz w:val="22"/>
          <w:szCs w:val="22"/>
        </w:rPr>
      </w:pPr>
    </w:p>
    <w:p w14:paraId="27C64886" w14:textId="7F11D23D" w:rsidR="00DD1FE5" w:rsidRPr="00DD1FE5" w:rsidRDefault="00DD1FE5" w:rsidP="00DD1FE5">
      <w:pPr>
        <w:spacing w:after="120" w:line="100" w:lineRule="atLeast"/>
        <w:jc w:val="center"/>
        <w:rPr>
          <w:rFonts w:ascii="Tahoma" w:hAnsi="Tahoma" w:cs="Calibri"/>
          <w:b/>
          <w:bCs/>
          <w:sz w:val="22"/>
          <w:szCs w:val="22"/>
        </w:rPr>
      </w:pPr>
      <w:r>
        <w:rPr>
          <w:rFonts w:ascii="Tahoma" w:hAnsi="Tahoma" w:cs="Calibri"/>
          <w:b/>
          <w:bCs/>
          <w:sz w:val="22"/>
          <w:szCs w:val="22"/>
        </w:rPr>
        <w:t>I.</w:t>
      </w:r>
    </w:p>
    <w:p w14:paraId="6B834DF4" w14:textId="6FA74278" w:rsidR="008B1CDE" w:rsidRPr="009D679E" w:rsidRDefault="00297CC1">
      <w:pPr>
        <w:spacing w:line="100" w:lineRule="atLeast"/>
        <w:jc w:val="both"/>
        <w:rPr>
          <w:rFonts w:ascii="Tahoma" w:hAnsi="Tahoma" w:cs="Calibri"/>
          <w:sz w:val="22"/>
          <w:szCs w:val="22"/>
        </w:rPr>
      </w:pPr>
      <w:r w:rsidRPr="009D679E">
        <w:rPr>
          <w:rFonts w:ascii="Tahoma" w:hAnsi="Tahoma" w:cs="Calibri"/>
          <w:sz w:val="22"/>
          <w:szCs w:val="22"/>
        </w:rPr>
        <w:t xml:space="preserve">Tímto dodatkem se </w:t>
      </w:r>
      <w:r w:rsidRPr="009D679E">
        <w:rPr>
          <w:rFonts w:ascii="Tahoma" w:hAnsi="Tahoma" w:cs="Calibri"/>
          <w:b/>
          <w:bCs/>
          <w:sz w:val="22"/>
          <w:szCs w:val="22"/>
        </w:rPr>
        <w:t>mění</w:t>
      </w:r>
      <w:r w:rsidRPr="009D679E">
        <w:rPr>
          <w:rFonts w:ascii="Tahoma" w:hAnsi="Tahoma" w:cs="Calibri"/>
          <w:sz w:val="22"/>
          <w:szCs w:val="22"/>
        </w:rPr>
        <w:t xml:space="preserve"> článek I</w:t>
      </w:r>
      <w:r w:rsidR="0074118C" w:rsidRPr="009D679E">
        <w:rPr>
          <w:rFonts w:ascii="Tahoma" w:hAnsi="Tahoma" w:cs="Calibri"/>
          <w:sz w:val="22"/>
          <w:szCs w:val="22"/>
        </w:rPr>
        <w:t>V</w:t>
      </w:r>
      <w:r w:rsidRPr="009D679E">
        <w:rPr>
          <w:rFonts w:ascii="Tahoma" w:hAnsi="Tahoma" w:cs="Calibri"/>
          <w:sz w:val="22"/>
          <w:szCs w:val="22"/>
        </w:rPr>
        <w:t xml:space="preserve">. </w:t>
      </w:r>
      <w:r w:rsidR="0074118C" w:rsidRPr="009D679E">
        <w:rPr>
          <w:rFonts w:ascii="Tahoma" w:hAnsi="Tahoma" w:cs="Calibri"/>
          <w:sz w:val="22"/>
          <w:szCs w:val="22"/>
        </w:rPr>
        <w:t>Doba účinnosti</w:t>
      </w:r>
      <w:r w:rsidR="00DD1FE5">
        <w:rPr>
          <w:rFonts w:ascii="Tahoma" w:hAnsi="Tahoma" w:cs="Calibri"/>
          <w:sz w:val="22"/>
          <w:szCs w:val="22"/>
        </w:rPr>
        <w:t xml:space="preserve"> </w:t>
      </w:r>
      <w:r w:rsidR="00DD1FE5" w:rsidRPr="00DD1FE5">
        <w:rPr>
          <w:rFonts w:ascii="Tahoma" w:hAnsi="Tahoma" w:cs="Calibri"/>
          <w:sz w:val="22"/>
          <w:szCs w:val="22"/>
        </w:rPr>
        <w:t>Rámcové příkazní smlouv</w:t>
      </w:r>
      <w:r w:rsidR="00DD1FE5">
        <w:rPr>
          <w:rFonts w:ascii="Tahoma" w:hAnsi="Tahoma" w:cs="Calibri"/>
          <w:sz w:val="22"/>
          <w:szCs w:val="22"/>
        </w:rPr>
        <w:t>y</w:t>
      </w:r>
      <w:r w:rsidR="00DD1FE5" w:rsidRPr="00DD1FE5">
        <w:rPr>
          <w:rFonts w:ascii="Tahoma" w:hAnsi="Tahoma" w:cs="Calibri"/>
          <w:sz w:val="22"/>
          <w:szCs w:val="22"/>
        </w:rPr>
        <w:t xml:space="preserve"> o poskytování technické pomoci a služeb ze dne 22. srpna 2023</w:t>
      </w:r>
      <w:r w:rsidR="00DD1FE5">
        <w:rPr>
          <w:rFonts w:ascii="Tahoma" w:hAnsi="Tahoma" w:cs="Calibri"/>
          <w:sz w:val="22"/>
          <w:szCs w:val="22"/>
        </w:rPr>
        <w:t xml:space="preserve"> (dále také jen „rámcová smlouva“)</w:t>
      </w:r>
      <w:r w:rsidRPr="009D679E">
        <w:rPr>
          <w:rFonts w:ascii="Tahoma" w:hAnsi="Tahoma" w:cs="Calibri"/>
          <w:sz w:val="22"/>
          <w:szCs w:val="22"/>
        </w:rPr>
        <w:t xml:space="preserve"> následovně:</w:t>
      </w:r>
    </w:p>
    <w:p w14:paraId="27527923" w14:textId="77777777" w:rsidR="008B1CDE" w:rsidRDefault="008B1CDE">
      <w:pPr>
        <w:spacing w:line="100" w:lineRule="atLeast"/>
        <w:jc w:val="both"/>
        <w:rPr>
          <w:rFonts w:ascii="Tahoma" w:hAnsi="Tahoma" w:cs="Calibri"/>
          <w:sz w:val="22"/>
          <w:szCs w:val="22"/>
        </w:rPr>
      </w:pPr>
    </w:p>
    <w:p w14:paraId="1AEEE1AE" w14:textId="77777777" w:rsidR="00DD1FE5" w:rsidRPr="00DD1FE5" w:rsidRDefault="00DD1FE5" w:rsidP="00DD1FE5">
      <w:pPr>
        <w:spacing w:line="100" w:lineRule="atLeast"/>
        <w:jc w:val="center"/>
        <w:rPr>
          <w:rStyle w:val="platne1"/>
          <w:rFonts w:ascii="Tahoma" w:hAnsi="Tahoma" w:cs="Calibri"/>
          <w:b/>
          <w:bCs/>
          <w:i/>
          <w:iCs/>
          <w:sz w:val="22"/>
          <w:szCs w:val="22"/>
        </w:rPr>
      </w:pPr>
      <w:r w:rsidRPr="00DD1FE5">
        <w:rPr>
          <w:rStyle w:val="platne1"/>
          <w:rFonts w:ascii="Tahoma" w:hAnsi="Tahoma" w:cs="Calibri"/>
          <w:b/>
          <w:bCs/>
          <w:i/>
          <w:iCs/>
          <w:sz w:val="22"/>
          <w:szCs w:val="22"/>
        </w:rPr>
        <w:t>„IV.</w:t>
      </w:r>
    </w:p>
    <w:p w14:paraId="1A8C78B8" w14:textId="77777777" w:rsidR="00DD1FE5" w:rsidRDefault="00DD1FE5" w:rsidP="00DD1FE5">
      <w:pPr>
        <w:spacing w:line="100" w:lineRule="atLeast"/>
        <w:jc w:val="center"/>
        <w:rPr>
          <w:rStyle w:val="platne1"/>
          <w:rFonts w:ascii="Tahoma" w:hAnsi="Tahoma" w:cs="Calibri"/>
          <w:b/>
          <w:bCs/>
          <w:i/>
          <w:iCs/>
          <w:sz w:val="22"/>
          <w:szCs w:val="22"/>
        </w:rPr>
      </w:pPr>
      <w:r w:rsidRPr="00DD1FE5">
        <w:rPr>
          <w:rStyle w:val="platne1"/>
          <w:rFonts w:ascii="Tahoma" w:hAnsi="Tahoma" w:cs="Calibri"/>
          <w:b/>
          <w:bCs/>
          <w:i/>
          <w:iCs/>
          <w:sz w:val="22"/>
          <w:szCs w:val="22"/>
        </w:rPr>
        <w:t>Doba účinnosti rámcové smlouvy</w:t>
      </w:r>
    </w:p>
    <w:p w14:paraId="09B2CDF0" w14:textId="77777777" w:rsidR="00DD1FE5" w:rsidRPr="00DD1FE5" w:rsidRDefault="00DD1FE5" w:rsidP="00DD1FE5">
      <w:pPr>
        <w:spacing w:line="100" w:lineRule="atLeast"/>
        <w:jc w:val="center"/>
        <w:rPr>
          <w:rStyle w:val="platne1"/>
          <w:rFonts w:ascii="Tahoma" w:hAnsi="Tahoma" w:cs="Calibri"/>
          <w:b/>
          <w:bCs/>
          <w:i/>
          <w:iCs/>
          <w:sz w:val="22"/>
          <w:szCs w:val="22"/>
        </w:rPr>
      </w:pPr>
    </w:p>
    <w:p w14:paraId="5BD9E3E3" w14:textId="6390821F" w:rsidR="008B1CDE" w:rsidRPr="009D679E" w:rsidRDefault="0074118C" w:rsidP="00A06208">
      <w:pPr>
        <w:spacing w:line="100" w:lineRule="atLeast"/>
        <w:jc w:val="both"/>
        <w:rPr>
          <w:rStyle w:val="platne1"/>
          <w:rFonts w:ascii="Tahoma" w:hAnsi="Tahoma" w:cs="Calibri"/>
          <w:i/>
          <w:iCs/>
          <w:sz w:val="22"/>
          <w:szCs w:val="22"/>
        </w:rPr>
      </w:pPr>
      <w:r w:rsidRPr="009D679E">
        <w:rPr>
          <w:rStyle w:val="platne1"/>
          <w:rFonts w:ascii="Tahoma" w:hAnsi="Tahoma" w:cs="Calibri"/>
          <w:i/>
          <w:iCs/>
          <w:sz w:val="22"/>
          <w:szCs w:val="22"/>
        </w:rPr>
        <w:t>Tato</w:t>
      </w:r>
      <w:r w:rsidR="00A06208" w:rsidRPr="009D679E">
        <w:rPr>
          <w:rStyle w:val="platne1"/>
          <w:rFonts w:ascii="Tahoma" w:hAnsi="Tahoma" w:cs="Calibri"/>
          <w:i/>
          <w:iCs/>
          <w:sz w:val="22"/>
          <w:szCs w:val="22"/>
        </w:rPr>
        <w:t xml:space="preserve"> rámcová smlouva je uzavírána na dobu </w:t>
      </w:r>
      <w:r w:rsidR="00E245F1">
        <w:rPr>
          <w:rStyle w:val="platne1"/>
          <w:rFonts w:ascii="Tahoma" w:hAnsi="Tahoma" w:cs="Calibri"/>
          <w:i/>
          <w:iCs/>
          <w:sz w:val="22"/>
          <w:szCs w:val="22"/>
        </w:rPr>
        <w:t xml:space="preserve">určitou </w:t>
      </w:r>
      <w:r w:rsidR="00D87D62">
        <w:rPr>
          <w:rStyle w:val="platne1"/>
          <w:rFonts w:ascii="Tahoma" w:hAnsi="Tahoma" w:cs="Calibri"/>
          <w:i/>
          <w:iCs/>
          <w:sz w:val="22"/>
          <w:szCs w:val="22"/>
        </w:rPr>
        <w:t>ode dne uzavření</w:t>
      </w:r>
      <w:r w:rsidR="004844D2">
        <w:rPr>
          <w:rStyle w:val="platne1"/>
          <w:rFonts w:ascii="Tahoma" w:hAnsi="Tahoma" w:cs="Calibri"/>
          <w:i/>
          <w:iCs/>
          <w:sz w:val="22"/>
          <w:szCs w:val="22"/>
        </w:rPr>
        <w:t xml:space="preserve"> této smlouvy</w:t>
      </w:r>
      <w:r w:rsidR="00D87D62">
        <w:rPr>
          <w:rStyle w:val="platne1"/>
          <w:rFonts w:ascii="Tahoma" w:hAnsi="Tahoma" w:cs="Calibri"/>
          <w:i/>
          <w:iCs/>
          <w:sz w:val="22"/>
          <w:szCs w:val="22"/>
        </w:rPr>
        <w:t xml:space="preserve"> do 31.</w:t>
      </w:r>
      <w:r w:rsidR="00293C05">
        <w:rPr>
          <w:rStyle w:val="platne1"/>
          <w:rFonts w:ascii="Tahoma" w:hAnsi="Tahoma" w:cs="Calibri"/>
          <w:i/>
          <w:iCs/>
          <w:sz w:val="22"/>
          <w:szCs w:val="22"/>
        </w:rPr>
        <w:t xml:space="preserve"> 12. 2025.</w:t>
      </w:r>
      <w:r w:rsidR="002630E4">
        <w:rPr>
          <w:rStyle w:val="platne1"/>
          <w:rFonts w:ascii="Tahoma" w:hAnsi="Tahoma" w:cs="Calibri"/>
          <w:i/>
          <w:iCs/>
          <w:sz w:val="22"/>
          <w:szCs w:val="22"/>
        </w:rPr>
        <w:t>”</w:t>
      </w:r>
    </w:p>
    <w:p w14:paraId="75DCD1DB" w14:textId="77777777" w:rsidR="00A06208" w:rsidRPr="009D679E" w:rsidRDefault="00A06208" w:rsidP="00A06208">
      <w:pPr>
        <w:spacing w:line="100" w:lineRule="atLeast"/>
        <w:jc w:val="both"/>
        <w:rPr>
          <w:rFonts w:ascii="Tahoma" w:hAnsi="Tahoma"/>
          <w:sz w:val="22"/>
          <w:szCs w:val="22"/>
        </w:rPr>
      </w:pPr>
    </w:p>
    <w:p w14:paraId="4575F1D2" w14:textId="0C49B594" w:rsidR="00DD1FE5" w:rsidRPr="00DD1FE5" w:rsidRDefault="00DD1FE5" w:rsidP="00DD1FE5">
      <w:pPr>
        <w:spacing w:after="120" w:line="100" w:lineRule="atLeast"/>
        <w:jc w:val="center"/>
        <w:rPr>
          <w:rStyle w:val="platne1"/>
          <w:rFonts w:ascii="Tahoma" w:hAnsi="Tahoma" w:cs="Calibri"/>
          <w:b/>
          <w:bCs/>
          <w:sz w:val="22"/>
          <w:szCs w:val="22"/>
        </w:rPr>
      </w:pPr>
      <w:r w:rsidRPr="00DD1FE5">
        <w:rPr>
          <w:rStyle w:val="platne1"/>
          <w:rFonts w:ascii="Tahoma" w:hAnsi="Tahoma" w:cs="Calibri"/>
          <w:b/>
          <w:bCs/>
          <w:sz w:val="22"/>
          <w:szCs w:val="22"/>
        </w:rPr>
        <w:t>II.</w:t>
      </w:r>
    </w:p>
    <w:p w14:paraId="51085F7E" w14:textId="2B931AC0" w:rsidR="008B1CDE" w:rsidRPr="009D679E" w:rsidRDefault="00297CC1">
      <w:pPr>
        <w:spacing w:after="119" w:line="100" w:lineRule="atLeast"/>
        <w:jc w:val="both"/>
        <w:rPr>
          <w:rFonts w:ascii="Tahoma" w:hAnsi="Tahoma"/>
          <w:sz w:val="22"/>
          <w:szCs w:val="22"/>
        </w:rPr>
      </w:pPr>
      <w:r w:rsidRPr="009D679E">
        <w:rPr>
          <w:rStyle w:val="platne1"/>
          <w:rFonts w:ascii="Tahoma" w:hAnsi="Tahoma" w:cs="Calibri"/>
          <w:sz w:val="22"/>
          <w:szCs w:val="22"/>
        </w:rPr>
        <w:t xml:space="preserve">V ostatním se </w:t>
      </w:r>
      <w:r w:rsidR="0074118C" w:rsidRPr="009D679E">
        <w:rPr>
          <w:rStyle w:val="platne1"/>
          <w:rFonts w:ascii="Tahoma" w:hAnsi="Tahoma" w:cs="Calibri"/>
          <w:sz w:val="22"/>
          <w:szCs w:val="22"/>
        </w:rPr>
        <w:t xml:space="preserve">Rámcová příkazní smlouva o poskytování technické pomoci a služeb ze dne </w:t>
      </w:r>
      <w:r w:rsidR="004922FB">
        <w:rPr>
          <w:rStyle w:val="platne1"/>
          <w:rFonts w:ascii="Tahoma" w:hAnsi="Tahoma" w:cs="Calibri"/>
          <w:sz w:val="22"/>
          <w:szCs w:val="22"/>
        </w:rPr>
        <w:t>22</w:t>
      </w:r>
      <w:r w:rsidR="0074118C" w:rsidRPr="009D679E">
        <w:rPr>
          <w:rStyle w:val="platne1"/>
          <w:rFonts w:ascii="Tahoma" w:hAnsi="Tahoma" w:cs="Calibri"/>
          <w:sz w:val="22"/>
          <w:szCs w:val="22"/>
        </w:rPr>
        <w:t xml:space="preserve">. srpna 2023 </w:t>
      </w:r>
      <w:r w:rsidRPr="009D679E">
        <w:rPr>
          <w:rStyle w:val="platne1"/>
          <w:rFonts w:ascii="Tahoma" w:hAnsi="Tahoma" w:cs="Calibri"/>
          <w:sz w:val="22"/>
          <w:szCs w:val="22"/>
        </w:rPr>
        <w:t>nemění.</w:t>
      </w:r>
    </w:p>
    <w:p w14:paraId="3E9A8CCD" w14:textId="077992F7" w:rsidR="00DD1FE5" w:rsidRPr="00DD1FE5" w:rsidRDefault="00DD1FE5" w:rsidP="00DD1FE5">
      <w:pPr>
        <w:pStyle w:val="Zkladntext"/>
        <w:spacing w:after="119"/>
        <w:jc w:val="center"/>
        <w:rPr>
          <w:rFonts w:ascii="Tahoma" w:hAnsi="Tahoma"/>
          <w:b/>
          <w:bCs/>
          <w:sz w:val="22"/>
          <w:szCs w:val="22"/>
        </w:rPr>
      </w:pPr>
      <w:r w:rsidRPr="00DD1FE5">
        <w:rPr>
          <w:rFonts w:ascii="Tahoma" w:hAnsi="Tahoma"/>
          <w:b/>
          <w:bCs/>
          <w:sz w:val="22"/>
          <w:szCs w:val="22"/>
        </w:rPr>
        <w:t>III.</w:t>
      </w:r>
    </w:p>
    <w:p w14:paraId="305CDD7D" w14:textId="77777777" w:rsidR="00C01AB8" w:rsidRDefault="00297CC1" w:rsidP="00C01AB8">
      <w:pPr>
        <w:pStyle w:val="Zkladntext"/>
        <w:numPr>
          <w:ilvl w:val="0"/>
          <w:numId w:val="4"/>
        </w:numPr>
        <w:tabs>
          <w:tab w:val="clear" w:pos="540"/>
          <w:tab w:val="clear" w:pos="1260"/>
          <w:tab w:val="clear" w:pos="1980"/>
          <w:tab w:val="clear" w:pos="3960"/>
        </w:tabs>
        <w:spacing w:after="119"/>
        <w:rPr>
          <w:rStyle w:val="nowrap"/>
          <w:rFonts w:ascii="Tahoma" w:hAnsi="Tahoma" w:cs="Calibri"/>
          <w:sz w:val="22"/>
          <w:szCs w:val="22"/>
        </w:rPr>
      </w:pPr>
      <w:r w:rsidRPr="009D679E">
        <w:rPr>
          <w:rFonts w:ascii="Tahoma" w:hAnsi="Tahoma"/>
          <w:sz w:val="22"/>
          <w:szCs w:val="22"/>
        </w:rPr>
        <w:t>Smluvní strany shodně prohlašují, že si dodatek č. 1 před jeho podpisem přečetly a že byl uzavřen po vzájemném projednání podle jejich pravé a svobodné vůle, určitě, vážně a srozumitelně, nikoliv v tísni nebo za nápadně nevýhodných podmínek, a že se dohodly o celém jeho obsahu, což stvrzují svými podpisy.</w:t>
      </w:r>
    </w:p>
    <w:p w14:paraId="719A1594" w14:textId="77777777" w:rsidR="00C01AB8" w:rsidRDefault="00297CC1" w:rsidP="00C01AB8">
      <w:pPr>
        <w:pStyle w:val="Zkladntext"/>
        <w:numPr>
          <w:ilvl w:val="0"/>
          <w:numId w:val="4"/>
        </w:numPr>
        <w:tabs>
          <w:tab w:val="clear" w:pos="540"/>
          <w:tab w:val="clear" w:pos="1260"/>
          <w:tab w:val="clear" w:pos="1980"/>
          <w:tab w:val="clear" w:pos="3960"/>
        </w:tabs>
        <w:spacing w:after="119"/>
        <w:rPr>
          <w:rFonts w:ascii="Tahoma" w:hAnsi="Tahoma" w:cs="Calibri"/>
          <w:sz w:val="22"/>
          <w:szCs w:val="22"/>
        </w:rPr>
      </w:pPr>
      <w:r w:rsidRPr="00C01AB8">
        <w:rPr>
          <w:rStyle w:val="nowrap"/>
          <w:rFonts w:ascii="Tahoma" w:hAnsi="Tahoma" w:cs="Calibri"/>
          <w:sz w:val="22"/>
          <w:szCs w:val="22"/>
        </w:rPr>
        <w:t xml:space="preserve">Tento dodatek č. 1 je </w:t>
      </w:r>
      <w:r w:rsidR="0074118C" w:rsidRPr="00C01AB8">
        <w:rPr>
          <w:rStyle w:val="nowrap"/>
          <w:rFonts w:ascii="Tahoma" w:hAnsi="Tahoma" w:cs="Calibri"/>
          <w:sz w:val="22"/>
          <w:szCs w:val="22"/>
        </w:rPr>
        <w:t>uzavřen v elektronické podobě a účastníky podepsán elektronicky.</w:t>
      </w:r>
    </w:p>
    <w:p w14:paraId="25D071B4" w14:textId="4E4614D5" w:rsidR="008B1CDE" w:rsidRPr="00C01AB8" w:rsidRDefault="00297CC1" w:rsidP="00C01AB8">
      <w:pPr>
        <w:pStyle w:val="Zkladntext"/>
        <w:numPr>
          <w:ilvl w:val="0"/>
          <w:numId w:val="4"/>
        </w:numPr>
        <w:tabs>
          <w:tab w:val="clear" w:pos="540"/>
          <w:tab w:val="clear" w:pos="1260"/>
          <w:tab w:val="clear" w:pos="1980"/>
          <w:tab w:val="clear" w:pos="3960"/>
        </w:tabs>
        <w:spacing w:after="119"/>
        <w:rPr>
          <w:rFonts w:ascii="Tahoma" w:hAnsi="Tahoma" w:cs="Calibri"/>
          <w:sz w:val="22"/>
          <w:szCs w:val="22"/>
        </w:rPr>
      </w:pPr>
      <w:r w:rsidRPr="00C01AB8">
        <w:rPr>
          <w:rFonts w:ascii="Tahoma" w:hAnsi="Tahoma"/>
          <w:sz w:val="22"/>
          <w:szCs w:val="22"/>
        </w:rPr>
        <w:t xml:space="preserve">Smluvní strany se dohodly, že pokud se na tento dodatek č. 1 vztahuje povinnost uveřejnění v registru smluv ve smyslu zákona č. 340/2015 Sb., o zvláštních podmínkách účinnosti některých smluv, </w:t>
      </w:r>
      <w:r w:rsidRPr="00C01AB8">
        <w:rPr>
          <w:rFonts w:ascii="Tahoma" w:hAnsi="Tahoma"/>
          <w:sz w:val="22"/>
          <w:szCs w:val="22"/>
        </w:rPr>
        <w:lastRenderedPageBreak/>
        <w:t>uveřejňování těchto smluv a o registru smluv (zákon o registru smluv), provede uveřejnění v souladu se zákonem objednatel.</w:t>
      </w:r>
    </w:p>
    <w:p w14:paraId="48A6BF90" w14:textId="77777777" w:rsidR="008B1CDE" w:rsidRPr="009D679E" w:rsidRDefault="008B1CDE">
      <w:pPr>
        <w:spacing w:line="100" w:lineRule="atLeast"/>
        <w:jc w:val="both"/>
        <w:rPr>
          <w:rFonts w:ascii="Tahoma" w:hAnsi="Tahoma"/>
          <w:sz w:val="22"/>
          <w:szCs w:val="22"/>
        </w:rPr>
      </w:pPr>
    </w:p>
    <w:p w14:paraId="400FC17E" w14:textId="79E61A9E" w:rsidR="008B1CDE" w:rsidRPr="009D679E" w:rsidRDefault="00297CC1">
      <w:pPr>
        <w:tabs>
          <w:tab w:val="left" w:pos="1095"/>
        </w:tabs>
        <w:jc w:val="both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sz w:val="22"/>
          <w:szCs w:val="22"/>
        </w:rPr>
        <w:t>V Ostravě</w:t>
      </w:r>
      <w:r w:rsidRPr="009D679E">
        <w:rPr>
          <w:rFonts w:ascii="Tahoma" w:hAnsi="Tahoma" w:cs="Tahoma"/>
          <w:sz w:val="22"/>
          <w:szCs w:val="22"/>
        </w:rPr>
        <w:tab/>
      </w:r>
      <w:r w:rsidRPr="009D679E">
        <w:rPr>
          <w:rFonts w:ascii="Tahoma" w:hAnsi="Tahoma" w:cs="Tahoma"/>
          <w:sz w:val="22"/>
          <w:szCs w:val="22"/>
        </w:rPr>
        <w:tab/>
      </w:r>
      <w:r w:rsidRPr="009D679E">
        <w:rPr>
          <w:rFonts w:ascii="Tahoma" w:hAnsi="Tahoma" w:cs="Tahoma"/>
          <w:sz w:val="22"/>
          <w:szCs w:val="22"/>
        </w:rPr>
        <w:tab/>
      </w:r>
      <w:r w:rsidRPr="009D679E">
        <w:rPr>
          <w:rFonts w:ascii="Tahoma" w:hAnsi="Tahoma" w:cs="Tahoma"/>
          <w:sz w:val="22"/>
          <w:szCs w:val="22"/>
        </w:rPr>
        <w:tab/>
      </w:r>
      <w:r w:rsidRPr="009D679E">
        <w:rPr>
          <w:rFonts w:ascii="Tahoma" w:hAnsi="Tahoma" w:cs="Tahoma"/>
          <w:sz w:val="22"/>
          <w:szCs w:val="22"/>
        </w:rPr>
        <w:tab/>
      </w:r>
      <w:r w:rsidRPr="009D679E">
        <w:rPr>
          <w:rFonts w:ascii="Tahoma" w:hAnsi="Tahoma" w:cs="Tahoma"/>
          <w:sz w:val="22"/>
          <w:szCs w:val="22"/>
        </w:rPr>
        <w:tab/>
        <w:t xml:space="preserve"> </w:t>
      </w:r>
    </w:p>
    <w:p w14:paraId="377ED1DF" w14:textId="77777777" w:rsidR="008B1CDE" w:rsidRPr="009D679E" w:rsidRDefault="008B1CDE">
      <w:pPr>
        <w:tabs>
          <w:tab w:val="left" w:pos="1095"/>
        </w:tabs>
        <w:jc w:val="both"/>
        <w:rPr>
          <w:rFonts w:ascii="Tahoma" w:hAnsi="Tahoma" w:cs="Tahoma"/>
          <w:sz w:val="22"/>
          <w:szCs w:val="22"/>
        </w:rPr>
      </w:pPr>
    </w:p>
    <w:p w14:paraId="77BA4EFB" w14:textId="77777777" w:rsidR="008B1CDE" w:rsidRPr="009D679E" w:rsidRDefault="008B1CDE">
      <w:pPr>
        <w:tabs>
          <w:tab w:val="left" w:pos="1095"/>
        </w:tabs>
        <w:jc w:val="both"/>
        <w:rPr>
          <w:rFonts w:ascii="Tahoma" w:hAnsi="Tahoma" w:cs="Tahoma"/>
          <w:sz w:val="22"/>
          <w:szCs w:val="22"/>
        </w:rPr>
      </w:pPr>
    </w:p>
    <w:p w14:paraId="4174EC6B" w14:textId="77777777" w:rsidR="008B1CDE" w:rsidRPr="009D679E" w:rsidRDefault="008B1CDE">
      <w:pPr>
        <w:tabs>
          <w:tab w:val="left" w:pos="1095"/>
        </w:tabs>
        <w:jc w:val="both"/>
        <w:rPr>
          <w:rFonts w:ascii="Tahoma" w:hAnsi="Tahoma" w:cs="Tahoma"/>
          <w:sz w:val="22"/>
          <w:szCs w:val="22"/>
        </w:rPr>
      </w:pPr>
    </w:p>
    <w:p w14:paraId="0621C358" w14:textId="5F508D20" w:rsidR="00A06208" w:rsidRPr="009D679E" w:rsidRDefault="00297CC1" w:rsidP="00A06208">
      <w:pPr>
        <w:tabs>
          <w:tab w:val="left" w:pos="1095"/>
        </w:tabs>
        <w:jc w:val="both"/>
        <w:rPr>
          <w:rFonts w:ascii="Tahoma" w:hAnsi="Tahoma" w:cs="Tahoma"/>
          <w:sz w:val="22"/>
          <w:szCs w:val="22"/>
        </w:rPr>
      </w:pPr>
      <w:r w:rsidRPr="009D679E">
        <w:rPr>
          <w:rFonts w:ascii="Tahoma" w:hAnsi="Tahoma" w:cs="Tahoma"/>
          <w:sz w:val="22"/>
          <w:szCs w:val="22"/>
        </w:rPr>
        <w:t>______________________</w:t>
      </w:r>
      <w:r w:rsidR="00A06208" w:rsidRPr="009D679E">
        <w:rPr>
          <w:rFonts w:ascii="Tahoma" w:hAnsi="Tahoma" w:cs="Tahoma"/>
          <w:sz w:val="22"/>
          <w:szCs w:val="22"/>
        </w:rPr>
        <w:t>_____________________</w:t>
      </w:r>
      <w:r w:rsidR="00A06208" w:rsidRPr="009D679E">
        <w:rPr>
          <w:rFonts w:ascii="Tahoma" w:hAnsi="Tahoma" w:cs="Tahoma"/>
          <w:sz w:val="22"/>
          <w:szCs w:val="22"/>
        </w:rPr>
        <w:tab/>
      </w:r>
      <w:r w:rsidR="00A06208" w:rsidRPr="009D679E">
        <w:rPr>
          <w:rFonts w:ascii="Tahoma" w:hAnsi="Tahoma" w:cs="Tahoma"/>
          <w:sz w:val="22"/>
          <w:szCs w:val="22"/>
        </w:rPr>
        <w:tab/>
        <w:t>______________________</w:t>
      </w:r>
    </w:p>
    <w:p w14:paraId="48E053F8" w14:textId="3042FFBC" w:rsidR="00A06208" w:rsidRPr="009D679E" w:rsidRDefault="00A06208" w:rsidP="00A06208">
      <w:pPr>
        <w:tabs>
          <w:tab w:val="left" w:pos="1095"/>
        </w:tabs>
        <w:jc w:val="both"/>
        <w:rPr>
          <w:rFonts w:ascii="Tahoma" w:hAnsi="Tahoma" w:cs="Tahoma"/>
          <w:b/>
          <w:sz w:val="22"/>
          <w:szCs w:val="22"/>
        </w:rPr>
      </w:pPr>
      <w:r w:rsidRPr="009D679E">
        <w:rPr>
          <w:rFonts w:ascii="Tahoma" w:hAnsi="Tahoma" w:cs="Tahoma"/>
          <w:b/>
          <w:sz w:val="22"/>
          <w:szCs w:val="22"/>
        </w:rPr>
        <w:t>Moravskoslezské Investice a Development, a.s.</w:t>
      </w:r>
      <w:r w:rsidRPr="009D679E">
        <w:rPr>
          <w:rFonts w:ascii="Tahoma" w:hAnsi="Tahoma" w:cs="Tahoma"/>
          <w:b/>
          <w:sz w:val="22"/>
          <w:szCs w:val="22"/>
        </w:rPr>
        <w:tab/>
      </w:r>
      <w:r w:rsidRPr="009D679E">
        <w:rPr>
          <w:rFonts w:ascii="Tahoma" w:hAnsi="Tahoma" w:cs="Tahoma"/>
          <w:b/>
          <w:sz w:val="22"/>
          <w:szCs w:val="22"/>
        </w:rPr>
        <w:tab/>
        <w:t>INKOS-OSTRAVA, a.s.</w:t>
      </w:r>
    </w:p>
    <w:p w14:paraId="74EA1888" w14:textId="0768A0C6" w:rsidR="00A06208" w:rsidRPr="009D679E" w:rsidRDefault="00A06208" w:rsidP="00A06208">
      <w:pPr>
        <w:tabs>
          <w:tab w:val="left" w:pos="1095"/>
        </w:tabs>
        <w:jc w:val="both"/>
        <w:rPr>
          <w:rFonts w:ascii="Tahoma" w:hAnsi="Tahoma" w:cs="Tahoma"/>
          <w:sz w:val="22"/>
          <w:szCs w:val="22"/>
        </w:rPr>
      </w:pPr>
      <w:r w:rsidRPr="62944393">
        <w:rPr>
          <w:rFonts w:ascii="Tahoma" w:hAnsi="Tahoma" w:cs="Tahoma"/>
          <w:sz w:val="22"/>
          <w:szCs w:val="22"/>
        </w:rPr>
        <w:t>Ing. Václav Palička</w:t>
      </w:r>
      <w:r>
        <w:tab/>
      </w:r>
      <w:r>
        <w:tab/>
      </w:r>
      <w:r w:rsidRPr="62944393">
        <w:rPr>
          <w:rFonts w:ascii="Tahoma" w:hAnsi="Tahoma" w:cs="Tahoma"/>
          <w:sz w:val="22"/>
          <w:szCs w:val="22"/>
        </w:rPr>
        <w:t>Mgr. Petr Birklen</w:t>
      </w:r>
      <w:r>
        <w:tab/>
      </w:r>
      <w:r>
        <w:tab/>
      </w:r>
      <w:r>
        <w:tab/>
      </w:r>
    </w:p>
    <w:p w14:paraId="29C35C19" w14:textId="74039CE9" w:rsidR="008B1CDE" w:rsidRPr="009D679E" w:rsidRDefault="00A06208">
      <w:pPr>
        <w:tabs>
          <w:tab w:val="left" w:pos="1095"/>
        </w:tabs>
        <w:jc w:val="both"/>
        <w:rPr>
          <w:rFonts w:ascii="Tahoma" w:hAnsi="Tahoma" w:cs="Tahoma"/>
          <w:sz w:val="22"/>
          <w:szCs w:val="22"/>
        </w:rPr>
      </w:pPr>
      <w:r w:rsidRPr="62944393">
        <w:rPr>
          <w:rFonts w:ascii="Tahoma" w:hAnsi="Tahoma" w:cs="Tahoma"/>
          <w:sz w:val="22"/>
          <w:szCs w:val="22"/>
        </w:rPr>
        <w:t>předseda představenstva</w:t>
      </w:r>
      <w:r>
        <w:tab/>
      </w:r>
      <w:r w:rsidRPr="62944393">
        <w:rPr>
          <w:rFonts w:ascii="Tahoma" w:hAnsi="Tahoma" w:cs="Tahoma"/>
          <w:sz w:val="22"/>
          <w:szCs w:val="22"/>
        </w:rPr>
        <w:t>místopředseda představenstva</w:t>
      </w:r>
      <w:r>
        <w:tab/>
      </w:r>
    </w:p>
    <w:sectPr w:rsidR="008B1CDE" w:rsidRPr="009D679E" w:rsidSect="00DD1F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849" w:bottom="1418" w:left="993" w:header="709" w:footer="56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C0C6" w14:textId="77777777" w:rsidR="0038589C" w:rsidRDefault="0038589C">
      <w:r>
        <w:separator/>
      </w:r>
    </w:p>
  </w:endnote>
  <w:endnote w:type="continuationSeparator" w:id="0">
    <w:p w14:paraId="7FEF3FE3" w14:textId="77777777" w:rsidR="0038589C" w:rsidRDefault="0038589C">
      <w:r>
        <w:continuationSeparator/>
      </w:r>
    </w:p>
  </w:endnote>
  <w:endnote w:type="continuationNotice" w:id="1">
    <w:p w14:paraId="67DCD754" w14:textId="77777777" w:rsidR="00756A10" w:rsidRDefault="00756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D47F" w14:textId="77777777" w:rsidR="008B1CDE" w:rsidRDefault="00297CC1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6F7E4A0" w14:textId="77777777" w:rsidR="008B1CDE" w:rsidRDefault="008B1C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3E21" w14:textId="77777777" w:rsidR="008B1CDE" w:rsidRDefault="00297CC1">
    <w:pPr>
      <w:pStyle w:val="Zpat"/>
      <w:rPr>
        <w:rFonts w:ascii="Tahoma" w:hAnsi="Tahoma" w:cs="Tahoma"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E6065E9" w14:textId="77777777" w:rsidR="008B1CDE" w:rsidRDefault="00297CC1">
    <w:pPr>
      <w:pStyle w:val="Zpat"/>
    </w:pPr>
    <w:r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037C" w14:textId="77777777" w:rsidR="0038589C" w:rsidRDefault="0038589C">
      <w:r>
        <w:separator/>
      </w:r>
    </w:p>
  </w:footnote>
  <w:footnote w:type="continuationSeparator" w:id="0">
    <w:p w14:paraId="50E09E66" w14:textId="77777777" w:rsidR="0038589C" w:rsidRDefault="0038589C">
      <w:r>
        <w:continuationSeparator/>
      </w:r>
    </w:p>
  </w:footnote>
  <w:footnote w:type="continuationNotice" w:id="1">
    <w:p w14:paraId="0CD56810" w14:textId="77777777" w:rsidR="00756A10" w:rsidRDefault="00756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EB5D" w14:textId="77777777" w:rsidR="008B1CDE" w:rsidRDefault="008B1CDE">
    <w:pPr>
      <w:pStyle w:val="Zhlav"/>
      <w:jc w:val="center"/>
    </w:pPr>
  </w:p>
  <w:p w14:paraId="15522B8D" w14:textId="77777777" w:rsidR="008B1CDE" w:rsidRDefault="008B1CDE">
    <w:pPr>
      <w:pStyle w:val="Zhlav"/>
      <w:ind w:right="-115"/>
      <w:jc w:val="right"/>
    </w:pPr>
  </w:p>
  <w:p w14:paraId="0C5D6EC2" w14:textId="77777777" w:rsidR="008B1CDE" w:rsidRDefault="008B1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3EA1" w14:textId="77777777" w:rsidR="008B1CDE" w:rsidRDefault="008B1CDE">
    <w:pPr>
      <w:pStyle w:val="Zhlav"/>
      <w:jc w:val="center"/>
    </w:pPr>
  </w:p>
  <w:p w14:paraId="7D40A8C9" w14:textId="77777777" w:rsidR="008B1CDE" w:rsidRDefault="008B1CDE">
    <w:pPr>
      <w:pStyle w:val="Zhlav"/>
      <w:ind w:right="-115"/>
      <w:jc w:val="right"/>
    </w:pPr>
  </w:p>
  <w:p w14:paraId="3498226D" w14:textId="77777777" w:rsidR="008B1CDE" w:rsidRDefault="008B1C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dpis1"/>
      <w:lvlText w:val="%1)"/>
      <w:lvlJc w:val="left"/>
      <w:pPr>
        <w:tabs>
          <w:tab w:val="num" w:pos="1069"/>
        </w:tabs>
        <w:ind w:left="1066" w:hanging="357"/>
      </w:pPr>
      <w:rPr>
        <w:color w:val="000000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3"/>
    <w:multiLevelType w:val="multilevel"/>
    <w:tmpl w:val="00000003"/>
    <w:name w:val="WW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E072AB"/>
    <w:multiLevelType w:val="hybridMultilevel"/>
    <w:tmpl w:val="A0A4352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597765">
    <w:abstractNumId w:val="0"/>
  </w:num>
  <w:num w:numId="2" w16cid:durableId="1768502602">
    <w:abstractNumId w:val="1"/>
  </w:num>
  <w:num w:numId="3" w16cid:durableId="569728119">
    <w:abstractNumId w:val="2"/>
  </w:num>
  <w:num w:numId="4" w16cid:durableId="135693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0D"/>
    <w:rsid w:val="00112EAF"/>
    <w:rsid w:val="00163F51"/>
    <w:rsid w:val="0018235C"/>
    <w:rsid w:val="00221B08"/>
    <w:rsid w:val="00245C3B"/>
    <w:rsid w:val="002630E4"/>
    <w:rsid w:val="00293C05"/>
    <w:rsid w:val="00297CC1"/>
    <w:rsid w:val="0038589C"/>
    <w:rsid w:val="003F7BD9"/>
    <w:rsid w:val="004844D2"/>
    <w:rsid w:val="004922FB"/>
    <w:rsid w:val="0051737B"/>
    <w:rsid w:val="0058550B"/>
    <w:rsid w:val="00620E97"/>
    <w:rsid w:val="006E67B5"/>
    <w:rsid w:val="007047C0"/>
    <w:rsid w:val="0074118C"/>
    <w:rsid w:val="00754B4C"/>
    <w:rsid w:val="00756A10"/>
    <w:rsid w:val="007F7833"/>
    <w:rsid w:val="0083200C"/>
    <w:rsid w:val="008B1CDE"/>
    <w:rsid w:val="0096480D"/>
    <w:rsid w:val="009D679E"/>
    <w:rsid w:val="00A06208"/>
    <w:rsid w:val="00AF5A95"/>
    <w:rsid w:val="00C01AB8"/>
    <w:rsid w:val="00D87D62"/>
    <w:rsid w:val="00DD1FE5"/>
    <w:rsid w:val="00E245F1"/>
    <w:rsid w:val="00F16F2B"/>
    <w:rsid w:val="00F50AB6"/>
    <w:rsid w:val="0F19FB99"/>
    <w:rsid w:val="1E5EFD7B"/>
    <w:rsid w:val="202C0A27"/>
    <w:rsid w:val="2CAFAFC5"/>
    <w:rsid w:val="2DBB88A3"/>
    <w:rsid w:val="5145CEE5"/>
    <w:rsid w:val="5365B5FC"/>
    <w:rsid w:val="61CE57A6"/>
    <w:rsid w:val="629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9DAC93"/>
  <w15:chartTrackingRefBased/>
  <w15:docId w15:val="{29D3AC89-E824-49D9-B010-B6B454E5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customStyle="1" w:styleId="slostrnky1">
    <w:name w:val="Číslo stránky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vraznn">
    <w:name w:val="Zvýraznění"/>
    <w:rPr>
      <w:i/>
      <w:iCs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MSKNormalChar">
    <w:name w:val="MSK_Normal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ormaltextrun">
    <w:name w:val="normaltextrun"/>
    <w:basedOn w:val="Standardnpsmoodstavce1"/>
  </w:style>
  <w:style w:type="character" w:customStyle="1" w:styleId="scxw159074815">
    <w:name w:val="scxw159074815"/>
    <w:basedOn w:val="Standardnpsmoodstavce1"/>
  </w:style>
  <w:style w:type="character" w:customStyle="1" w:styleId="eop">
    <w:name w:val="eop"/>
    <w:basedOn w:val="Standardnpsmoodstavce1"/>
  </w:style>
  <w:style w:type="character" w:styleId="Zdraznn">
    <w:name w:val="Emphasis"/>
    <w:qFormat/>
    <w:rPr>
      <w:i/>
      <w:iCs/>
    </w:rPr>
  </w:style>
  <w:style w:type="character" w:customStyle="1" w:styleId="Nevyeenzmnka1">
    <w:name w:val="Nevyřešená zmínka1"/>
    <w:rPr>
      <w:color w:val="605E5C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A"/>
      <w:sz w:val="20"/>
      <w:szCs w:val="2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  <w:i w:val="0"/>
    </w:rPr>
  </w:style>
  <w:style w:type="character" w:customStyle="1" w:styleId="ListLabel5">
    <w:name w:val="ListLabel 5"/>
    <w:rPr>
      <w:rFonts w:eastAsia="Times New Roman" w:cs="Tahoma"/>
    </w:rPr>
  </w:style>
  <w:style w:type="character" w:customStyle="1" w:styleId="ListLabel6">
    <w:name w:val="ListLabel 6"/>
    <w:rPr>
      <w:rFonts w:cs="Courier New"/>
    </w:rPr>
  </w:style>
  <w:style w:type="character" w:customStyle="1" w:styleId="Standardnpsmoodstavce10">
    <w:name w:val="Standardní písmo odstavce10"/>
  </w:style>
  <w:style w:type="character" w:customStyle="1" w:styleId="platne1">
    <w:name w:val="platne1"/>
    <w:basedOn w:val="Standardnpsmoodstavce10"/>
  </w:style>
  <w:style w:type="character" w:customStyle="1" w:styleId="nowrap">
    <w:name w:val="nowrap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32"/>
      <w:szCs w:val="36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i/>
      <w:iCs/>
      <w:color w:val="000000"/>
      <w:sz w:val="28"/>
      <w:szCs w:val="20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customStyle="1" w:styleId="Zkladntextodsazen21">
    <w:name w:val="Základní text odsazený 21"/>
    <w:basedOn w:val="Normln"/>
    <w:pPr>
      <w:ind w:hanging="360"/>
      <w:jc w:val="both"/>
    </w:pPr>
  </w:style>
  <w:style w:type="paragraph" w:customStyle="1" w:styleId="Zkladntextodsazen31">
    <w:name w:val="Základní text odsazený 31"/>
    <w:basedOn w:val="Normln"/>
    <w:pPr>
      <w:ind w:left="540" w:hanging="540"/>
      <w:jc w:val="both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tabs>
        <w:tab w:val="clear" w:pos="540"/>
        <w:tab w:val="clear" w:pos="1260"/>
        <w:tab w:val="clear" w:pos="1980"/>
        <w:tab w:val="clear" w:pos="3960"/>
        <w:tab w:val="left" w:pos="284"/>
        <w:tab w:val="num" w:pos="1069"/>
      </w:tabs>
      <w:ind w:left="1066" w:hanging="357"/>
      <w:outlineLvl w:val="0"/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pPr>
      <w:tabs>
        <w:tab w:val="left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ind w:left="357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customStyle="1" w:styleId="odstavecsmlouvy0">
    <w:name w:val="odstavecsmlouvy"/>
    <w:basedOn w:val="Normln"/>
    <w:pPr>
      <w:spacing w:before="28" w:after="100"/>
    </w:p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Odstavecseseznamem1">
    <w:name w:val="Odstavec se seznamem1"/>
    <w:basedOn w:val="Normln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harCharChar1">
    <w:name w:val="Char Char Char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KNormal">
    <w:name w:val="MSK_Normal"/>
    <w:basedOn w:val="Normln"/>
    <w:pPr>
      <w:jc w:val="both"/>
    </w:pPr>
  </w:style>
  <w:style w:type="paragraph" w:customStyle="1" w:styleId="Revize1">
    <w:name w:val="Revize1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"/>
    <w:pPr>
      <w:spacing w:before="28" w:after="100"/>
    </w:pPr>
  </w:style>
  <w:style w:type="paragraph" w:customStyle="1" w:styleId="Normlnweb1">
    <w:name w:val="Normální (web)1"/>
    <w:basedOn w:val="Normln"/>
    <w:pPr>
      <w:spacing w:before="28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Ratajová Naděžda</cp:lastModifiedBy>
  <cp:revision>2</cp:revision>
  <cp:lastPrinted>2023-05-12T10:13:00Z</cp:lastPrinted>
  <dcterms:created xsi:type="dcterms:W3CDTF">2024-12-12T10:09:00Z</dcterms:created>
  <dcterms:modified xsi:type="dcterms:W3CDTF">2024-12-12T10:09:00Z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Moravskoslezský kraj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