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6DC663B6"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150497">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4CCEF705" w:rsidR="0051200A" w:rsidRPr="002B650C" w:rsidRDefault="00861280"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sidRPr="002B650C">
        <w:rPr>
          <w:rFonts w:ascii="Tahoma" w:hAnsi="Tahoma" w:cs="Tahoma"/>
          <w:b/>
          <w:sz w:val="20"/>
          <w:szCs w:val="22"/>
        </w:rPr>
        <w:t>L I N E T spol. s r.o.</w:t>
      </w:r>
      <w:r w:rsidR="00705BC6" w:rsidRPr="002B650C">
        <w:rPr>
          <w:rFonts w:ascii="Tahoma" w:hAnsi="Tahoma" w:cs="Tahoma"/>
          <w:b/>
          <w:sz w:val="20"/>
          <w:szCs w:val="22"/>
        </w:rPr>
        <w:t xml:space="preserve"> </w:t>
      </w:r>
    </w:p>
    <w:p w14:paraId="38B9994A" w14:textId="028690F7" w:rsidR="009601F0" w:rsidRPr="002B650C" w:rsidRDefault="007C0279" w:rsidP="00861280">
      <w:pPr>
        <w:numPr>
          <w:ilvl w:val="12"/>
          <w:numId w:val="0"/>
        </w:numPr>
        <w:tabs>
          <w:tab w:val="num" w:pos="360"/>
          <w:tab w:val="num" w:pos="426"/>
          <w:tab w:val="left" w:pos="1860"/>
          <w:tab w:val="left" w:pos="2977"/>
        </w:tabs>
        <w:spacing w:line="276" w:lineRule="auto"/>
        <w:ind w:left="425" w:hanging="425"/>
        <w:jc w:val="both"/>
        <w:rPr>
          <w:rFonts w:ascii="Tahoma" w:hAnsi="Tahoma" w:cs="Tahoma"/>
          <w:sz w:val="20"/>
          <w:szCs w:val="22"/>
        </w:rPr>
      </w:pPr>
      <w:r w:rsidRPr="002B650C">
        <w:rPr>
          <w:rFonts w:ascii="Tahoma" w:hAnsi="Tahoma" w:cs="Tahoma"/>
          <w:sz w:val="20"/>
          <w:szCs w:val="22"/>
        </w:rPr>
        <w:t>s</w:t>
      </w:r>
      <w:r w:rsidR="009601F0" w:rsidRPr="002B650C">
        <w:rPr>
          <w:rFonts w:ascii="Tahoma" w:hAnsi="Tahoma" w:cs="Tahoma"/>
          <w:sz w:val="20"/>
          <w:szCs w:val="22"/>
        </w:rPr>
        <w:t>e sídlem:</w:t>
      </w:r>
      <w:r w:rsidR="00861280" w:rsidRPr="002B650C">
        <w:rPr>
          <w:rFonts w:ascii="Tahoma" w:hAnsi="Tahoma" w:cs="Tahoma"/>
          <w:sz w:val="20"/>
          <w:szCs w:val="22"/>
        </w:rPr>
        <w:tab/>
      </w:r>
      <w:r w:rsidR="00861280" w:rsidRPr="002B650C">
        <w:rPr>
          <w:rFonts w:ascii="Tahoma" w:hAnsi="Tahoma" w:cs="Tahoma"/>
          <w:sz w:val="20"/>
          <w:szCs w:val="22"/>
        </w:rPr>
        <w:tab/>
      </w:r>
      <w:proofErr w:type="spellStart"/>
      <w:r w:rsidR="00861280" w:rsidRPr="002B650C">
        <w:rPr>
          <w:rFonts w:ascii="Tahoma" w:hAnsi="Tahoma" w:cs="Tahoma"/>
          <w:sz w:val="20"/>
          <w:szCs w:val="22"/>
        </w:rPr>
        <w:t>Želevčice</w:t>
      </w:r>
      <w:proofErr w:type="spellEnd"/>
      <w:r w:rsidR="00861280" w:rsidRPr="002B650C">
        <w:rPr>
          <w:rFonts w:ascii="Tahoma" w:hAnsi="Tahoma" w:cs="Tahoma"/>
          <w:sz w:val="20"/>
          <w:szCs w:val="22"/>
        </w:rPr>
        <w:t xml:space="preserve"> 5, 274 01 Slaný</w:t>
      </w:r>
    </w:p>
    <w:p w14:paraId="433A77C9" w14:textId="50145631" w:rsidR="009601F0" w:rsidRPr="002B650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B650C">
        <w:rPr>
          <w:rFonts w:ascii="Tahoma" w:hAnsi="Tahoma" w:cs="Tahoma"/>
          <w:sz w:val="20"/>
          <w:szCs w:val="22"/>
        </w:rPr>
        <w:t>z</w:t>
      </w:r>
      <w:r w:rsidR="009601F0" w:rsidRPr="002B650C">
        <w:rPr>
          <w:rFonts w:ascii="Tahoma" w:hAnsi="Tahoma" w:cs="Tahoma"/>
          <w:sz w:val="20"/>
          <w:szCs w:val="22"/>
        </w:rPr>
        <w:t>astoupena</w:t>
      </w:r>
      <w:r w:rsidR="0078735D" w:rsidRPr="002B650C">
        <w:rPr>
          <w:rFonts w:ascii="Tahoma" w:hAnsi="Tahoma" w:cs="Tahoma"/>
          <w:sz w:val="20"/>
          <w:szCs w:val="22"/>
        </w:rPr>
        <w:t>:</w:t>
      </w:r>
      <w:r w:rsidR="009601F0" w:rsidRPr="002B650C">
        <w:rPr>
          <w:rFonts w:ascii="Tahoma" w:hAnsi="Tahoma" w:cs="Tahoma"/>
          <w:sz w:val="20"/>
          <w:szCs w:val="22"/>
        </w:rPr>
        <w:tab/>
      </w:r>
      <w:r w:rsidR="00861280" w:rsidRPr="002B650C">
        <w:rPr>
          <w:rFonts w:ascii="Tahoma" w:hAnsi="Tahoma" w:cs="Tahoma"/>
          <w:sz w:val="20"/>
          <w:szCs w:val="22"/>
        </w:rPr>
        <w:t>Petrem Smetanou, vedoucím podpory obchodu pro ČR, v plné moci</w:t>
      </w:r>
    </w:p>
    <w:p w14:paraId="1816FCAE" w14:textId="1B39A280" w:rsidR="009601F0" w:rsidRPr="002B650C"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B650C">
        <w:rPr>
          <w:rFonts w:ascii="Tahoma" w:hAnsi="Tahoma" w:cs="Tahoma"/>
          <w:sz w:val="20"/>
          <w:szCs w:val="22"/>
        </w:rPr>
        <w:t>IČ</w:t>
      </w:r>
      <w:r w:rsidR="006D6317" w:rsidRPr="002B650C">
        <w:rPr>
          <w:rFonts w:ascii="Tahoma" w:hAnsi="Tahoma" w:cs="Tahoma"/>
          <w:sz w:val="20"/>
          <w:szCs w:val="22"/>
        </w:rPr>
        <w:t>O</w:t>
      </w:r>
      <w:r w:rsidRPr="002B650C">
        <w:rPr>
          <w:rFonts w:ascii="Tahoma" w:hAnsi="Tahoma" w:cs="Tahoma"/>
          <w:sz w:val="20"/>
          <w:szCs w:val="22"/>
        </w:rPr>
        <w:t>:</w:t>
      </w:r>
      <w:r w:rsidRPr="002B650C">
        <w:rPr>
          <w:rFonts w:ascii="Tahoma" w:hAnsi="Tahoma" w:cs="Tahoma"/>
          <w:sz w:val="20"/>
          <w:szCs w:val="22"/>
        </w:rPr>
        <w:tab/>
      </w:r>
      <w:r w:rsidR="007C0279" w:rsidRPr="002B650C">
        <w:rPr>
          <w:rFonts w:ascii="Tahoma" w:hAnsi="Tahoma" w:cs="Tahoma"/>
          <w:sz w:val="20"/>
          <w:szCs w:val="22"/>
        </w:rPr>
        <w:tab/>
      </w:r>
      <w:r w:rsidR="00FE7D06" w:rsidRPr="002B650C">
        <w:rPr>
          <w:rFonts w:ascii="Tahoma" w:hAnsi="Tahoma" w:cs="Tahoma"/>
          <w:sz w:val="20"/>
          <w:szCs w:val="22"/>
        </w:rPr>
        <w:t>00507814</w:t>
      </w:r>
    </w:p>
    <w:p w14:paraId="44E863C5" w14:textId="4D0B7FEA" w:rsidR="009601F0" w:rsidRPr="002B650C"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B650C">
        <w:rPr>
          <w:rFonts w:ascii="Tahoma" w:hAnsi="Tahoma" w:cs="Tahoma"/>
          <w:sz w:val="20"/>
          <w:szCs w:val="22"/>
        </w:rPr>
        <w:t>DIČ:</w:t>
      </w:r>
      <w:r w:rsidRPr="002B650C">
        <w:rPr>
          <w:rFonts w:ascii="Tahoma" w:hAnsi="Tahoma" w:cs="Tahoma"/>
          <w:sz w:val="20"/>
          <w:szCs w:val="22"/>
        </w:rPr>
        <w:tab/>
      </w:r>
      <w:r w:rsidR="007C0279" w:rsidRPr="002B650C">
        <w:rPr>
          <w:rFonts w:ascii="Tahoma" w:hAnsi="Tahoma" w:cs="Tahoma"/>
          <w:sz w:val="20"/>
          <w:szCs w:val="22"/>
        </w:rPr>
        <w:tab/>
      </w:r>
      <w:r w:rsidR="00FE7D06" w:rsidRPr="002B650C">
        <w:rPr>
          <w:rFonts w:ascii="Tahoma" w:hAnsi="Tahoma" w:cs="Tahoma"/>
          <w:sz w:val="20"/>
          <w:szCs w:val="22"/>
        </w:rPr>
        <w:t>CZ00507814</w:t>
      </w:r>
    </w:p>
    <w:p w14:paraId="22485E20" w14:textId="7CACABE0" w:rsidR="0051200A" w:rsidRPr="002B650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B650C">
        <w:rPr>
          <w:rFonts w:ascii="Tahoma" w:hAnsi="Tahoma" w:cs="Tahoma"/>
          <w:sz w:val="20"/>
          <w:szCs w:val="22"/>
        </w:rPr>
        <w:t>b</w:t>
      </w:r>
      <w:r w:rsidR="009601F0" w:rsidRPr="002B650C">
        <w:rPr>
          <w:rFonts w:ascii="Tahoma" w:hAnsi="Tahoma" w:cs="Tahoma"/>
          <w:sz w:val="20"/>
          <w:szCs w:val="22"/>
        </w:rPr>
        <w:t>ankovní spojení:</w:t>
      </w:r>
      <w:r w:rsidR="009601F0" w:rsidRPr="002B650C">
        <w:rPr>
          <w:rFonts w:ascii="Tahoma" w:hAnsi="Tahoma" w:cs="Tahoma"/>
          <w:sz w:val="20"/>
          <w:szCs w:val="22"/>
        </w:rPr>
        <w:tab/>
      </w:r>
      <w:r w:rsidR="00FE7D06" w:rsidRPr="002B650C">
        <w:rPr>
          <w:rFonts w:ascii="Tahoma" w:hAnsi="Tahoma" w:cs="Tahoma"/>
          <w:sz w:val="20"/>
          <w:szCs w:val="22"/>
        </w:rPr>
        <w:t>Komerční banka, a.s.</w:t>
      </w:r>
    </w:p>
    <w:p w14:paraId="4D4FB822" w14:textId="126EADE5" w:rsidR="009601F0" w:rsidRPr="002B650C"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2B650C">
        <w:rPr>
          <w:rFonts w:ascii="Tahoma" w:hAnsi="Tahoma" w:cs="Tahoma"/>
          <w:sz w:val="20"/>
          <w:szCs w:val="22"/>
        </w:rPr>
        <w:t>č</w:t>
      </w:r>
      <w:r w:rsidR="009601F0" w:rsidRPr="002B650C">
        <w:rPr>
          <w:rFonts w:ascii="Tahoma" w:hAnsi="Tahoma" w:cs="Tahoma"/>
          <w:sz w:val="20"/>
          <w:szCs w:val="22"/>
        </w:rPr>
        <w:t>íslo účtu:</w:t>
      </w:r>
      <w:r w:rsidR="009601F0" w:rsidRPr="002B650C">
        <w:rPr>
          <w:rFonts w:ascii="Tahoma" w:hAnsi="Tahoma" w:cs="Tahoma"/>
          <w:sz w:val="20"/>
          <w:szCs w:val="22"/>
        </w:rPr>
        <w:tab/>
      </w:r>
      <w:proofErr w:type="spellStart"/>
      <w:r w:rsidR="00150497">
        <w:rPr>
          <w:rFonts w:ascii="Tahoma" w:hAnsi="Tahoma" w:cs="Tahoma"/>
          <w:sz w:val="20"/>
          <w:szCs w:val="22"/>
        </w:rPr>
        <w:t>xxx</w:t>
      </w:r>
      <w:proofErr w:type="spellEnd"/>
    </w:p>
    <w:p w14:paraId="0657C746" w14:textId="1FE3B031"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2B650C">
        <w:rPr>
          <w:rFonts w:ascii="Tahoma" w:hAnsi="Tahoma" w:cs="Tahoma"/>
          <w:sz w:val="20"/>
          <w:szCs w:val="22"/>
        </w:rPr>
        <w:t xml:space="preserve">Zapsána v obchodním rejstříku vedeném </w:t>
      </w:r>
      <w:r w:rsidR="00FE7D06" w:rsidRPr="002B650C">
        <w:rPr>
          <w:rFonts w:ascii="Tahoma" w:hAnsi="Tahoma" w:cs="Tahoma"/>
          <w:iCs/>
          <w:sz w:val="20"/>
          <w:szCs w:val="20"/>
        </w:rPr>
        <w:t>Městským</w:t>
      </w:r>
      <w:r w:rsidR="000E5A82" w:rsidRPr="002B650C">
        <w:rPr>
          <w:rFonts w:ascii="Tahoma" w:hAnsi="Tahoma" w:cs="Tahoma"/>
          <w:iCs/>
          <w:sz w:val="20"/>
          <w:szCs w:val="20"/>
        </w:rPr>
        <w:t xml:space="preserve"> soudem v</w:t>
      </w:r>
      <w:r w:rsidR="00FE7D06" w:rsidRPr="002B650C">
        <w:rPr>
          <w:rFonts w:ascii="Tahoma" w:hAnsi="Tahoma" w:cs="Tahoma"/>
          <w:iCs/>
          <w:sz w:val="20"/>
          <w:szCs w:val="20"/>
        </w:rPr>
        <w:t> Praze,</w:t>
      </w:r>
      <w:r w:rsidR="000E5A82" w:rsidRPr="002B650C">
        <w:rPr>
          <w:rFonts w:ascii="Tahoma" w:hAnsi="Tahoma" w:cs="Tahoma"/>
          <w:iCs/>
          <w:sz w:val="20"/>
          <w:szCs w:val="20"/>
        </w:rPr>
        <w:t xml:space="preserve"> oddíl </w:t>
      </w:r>
      <w:r w:rsidR="00FE7D06" w:rsidRPr="002B650C">
        <w:rPr>
          <w:rFonts w:ascii="Tahoma" w:hAnsi="Tahoma" w:cs="Tahoma"/>
          <w:iCs/>
          <w:sz w:val="20"/>
          <w:szCs w:val="20"/>
        </w:rPr>
        <w:t>C</w:t>
      </w:r>
      <w:r w:rsidR="000E5A82" w:rsidRPr="002B650C">
        <w:rPr>
          <w:rFonts w:ascii="Tahoma" w:hAnsi="Tahoma" w:cs="Tahoma"/>
          <w:iCs/>
          <w:sz w:val="20"/>
          <w:szCs w:val="20"/>
        </w:rPr>
        <w:t>, vložka </w:t>
      </w:r>
      <w:r w:rsidR="00FE7D06" w:rsidRPr="002B650C">
        <w:rPr>
          <w:rFonts w:ascii="Tahoma" w:hAnsi="Tahoma" w:cs="Tahoma"/>
          <w:iCs/>
          <w:sz w:val="20"/>
          <w:szCs w:val="20"/>
        </w:rPr>
        <w:t>163</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D452C2">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3F66AA" w14:textId="77777777" w:rsidR="00810E99" w:rsidRPr="00B44200" w:rsidRDefault="00810E99" w:rsidP="00810E99">
      <w:pPr>
        <w:pStyle w:val="OdstavecSmlouvy"/>
        <w:keepLines w:val="0"/>
        <w:widowControl w:val="0"/>
        <w:tabs>
          <w:tab w:val="clear" w:pos="426"/>
          <w:tab w:val="clear" w:pos="1701"/>
        </w:tabs>
        <w:spacing w:before="120" w:after="0"/>
        <w:ind w:left="357"/>
        <w:rPr>
          <w:rFonts w:ascii="Tahoma" w:hAnsi="Tahoma" w:cs="Tahoma"/>
          <w:sz w:val="20"/>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085C4810"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 </w:t>
      </w:r>
      <w:r w:rsidR="008D2ABD" w:rsidRPr="00493476">
        <w:rPr>
          <w:rFonts w:ascii="Tahoma" w:hAnsi="Tahoma" w:cs="Tahoma"/>
          <w:bCs/>
          <w:sz w:val="20"/>
          <w:szCs w:val="20"/>
        </w:rPr>
        <w:t>vyšetřovací stoly</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2"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2"/>
    </w:p>
    <w:p w14:paraId="6C41C751" w14:textId="6BC95A9F" w:rsidR="0004468F" w:rsidRPr="009D7E41" w:rsidRDefault="00BB0AB3" w:rsidP="008176F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9D7E41">
        <w:rPr>
          <w:rFonts w:ascii="Tahoma" w:hAnsi="Tahoma" w:cs="Tahoma"/>
          <w:sz w:val="20"/>
          <w:szCs w:val="20"/>
        </w:rPr>
        <w:t>Předmětem smlouvy</w:t>
      </w:r>
      <w:r w:rsidR="00066D69" w:rsidRPr="009D7E41">
        <w:rPr>
          <w:rFonts w:ascii="Tahoma" w:hAnsi="Tahoma" w:cs="Tahoma"/>
          <w:sz w:val="20"/>
          <w:szCs w:val="20"/>
        </w:rPr>
        <w:t xml:space="preserve"> </w:t>
      </w:r>
      <w:r w:rsidR="00015E20" w:rsidRPr="009D7E41">
        <w:rPr>
          <w:rFonts w:ascii="Tahoma" w:hAnsi="Tahoma" w:cs="Tahoma"/>
          <w:sz w:val="20"/>
          <w:szCs w:val="20"/>
        </w:rPr>
        <w:t>ve smyslu</w:t>
      </w:r>
      <w:r w:rsidR="00066D69" w:rsidRPr="009D7E41">
        <w:rPr>
          <w:rFonts w:ascii="Tahoma" w:hAnsi="Tahoma" w:cs="Tahoma"/>
          <w:sz w:val="20"/>
          <w:szCs w:val="20"/>
        </w:rPr>
        <w:t xml:space="preserve"> odst. 1 tohoto článku smlouvy se rozumí</w:t>
      </w:r>
      <w:r w:rsidR="00B805D4" w:rsidRPr="009D7E41">
        <w:rPr>
          <w:rFonts w:ascii="Tahoma" w:hAnsi="Tahoma" w:cs="Tahoma"/>
          <w:sz w:val="20"/>
          <w:szCs w:val="20"/>
        </w:rPr>
        <w:t xml:space="preserve">: </w:t>
      </w:r>
      <w:r w:rsidR="008D2ABD" w:rsidRPr="00493476">
        <w:rPr>
          <w:rFonts w:ascii="Tahoma" w:hAnsi="Tahoma" w:cs="Tahoma"/>
          <w:b/>
          <w:sz w:val="20"/>
          <w:szCs w:val="20"/>
        </w:rPr>
        <w:t>vyšetřovací stoly</w:t>
      </w:r>
      <w:r w:rsidR="009D7E41" w:rsidRPr="00493476">
        <w:rPr>
          <w:rFonts w:ascii="Tahoma" w:hAnsi="Tahoma" w:cs="Tahoma"/>
          <w:b/>
          <w:sz w:val="20"/>
          <w:szCs w:val="20"/>
        </w:rPr>
        <w:t xml:space="preserve"> </w:t>
      </w:r>
      <w:r w:rsidR="00EA70E9" w:rsidRPr="00493476">
        <w:rPr>
          <w:rFonts w:ascii="Tahoma" w:hAnsi="Tahoma" w:cs="Tahoma"/>
          <w:b/>
          <w:sz w:val="20"/>
          <w:szCs w:val="20"/>
        </w:rPr>
        <w:t>(</w:t>
      </w:r>
      <w:r w:rsidR="008D2ABD" w:rsidRPr="00493476">
        <w:rPr>
          <w:rFonts w:ascii="Tahoma" w:hAnsi="Tahoma" w:cs="Tahoma"/>
          <w:b/>
          <w:sz w:val="20"/>
          <w:szCs w:val="20"/>
        </w:rPr>
        <w:t>2</w:t>
      </w:r>
      <w:r w:rsidR="00EA70E9" w:rsidRPr="00493476">
        <w:rPr>
          <w:rFonts w:ascii="Tahoma" w:hAnsi="Tahoma" w:cs="Tahoma"/>
          <w:b/>
          <w:sz w:val="20"/>
          <w:szCs w:val="20"/>
        </w:rPr>
        <w:t xml:space="preserve"> ks</w:t>
      </w:r>
      <w:r w:rsidR="00EA70E9" w:rsidRPr="002B650C">
        <w:rPr>
          <w:rFonts w:ascii="Tahoma" w:hAnsi="Tahoma" w:cs="Tahoma"/>
          <w:b/>
          <w:sz w:val="20"/>
          <w:szCs w:val="20"/>
        </w:rPr>
        <w:t xml:space="preserve">) </w:t>
      </w:r>
      <w:proofErr w:type="spellStart"/>
      <w:r w:rsidR="00ED27B1" w:rsidRPr="002B650C">
        <w:rPr>
          <w:rFonts w:ascii="Tahoma" w:hAnsi="Tahoma" w:cs="Tahoma"/>
          <w:b/>
          <w:sz w:val="20"/>
          <w:szCs w:val="20"/>
        </w:rPr>
        <w:t>Gracie</w:t>
      </w:r>
      <w:proofErr w:type="spellEnd"/>
      <w:r w:rsidR="00ED27B1" w:rsidRPr="002B650C">
        <w:rPr>
          <w:rFonts w:ascii="Tahoma" w:hAnsi="Tahoma" w:cs="Tahoma"/>
          <w:b/>
          <w:sz w:val="20"/>
          <w:szCs w:val="20"/>
        </w:rPr>
        <w:t>, 1GK-873</w:t>
      </w:r>
      <w:r w:rsidR="00ED27B1">
        <w:rPr>
          <w:rFonts w:ascii="Tahoma" w:hAnsi="Tahoma" w:cs="Tahoma"/>
          <w:b/>
          <w:sz w:val="20"/>
          <w:szCs w:val="20"/>
        </w:rPr>
        <w:t>,</w:t>
      </w:r>
      <w:r w:rsidR="00B805D4" w:rsidRPr="009D7E41">
        <w:rPr>
          <w:rFonts w:ascii="Tahoma" w:hAnsi="Tahoma" w:cs="Tahoma"/>
          <w:i/>
          <w:color w:val="FF0000"/>
          <w:sz w:val="20"/>
          <w:szCs w:val="20"/>
        </w:rPr>
        <w:t xml:space="preserve"> </w:t>
      </w:r>
      <w:r w:rsidR="00B805D4" w:rsidRPr="009D7E41">
        <w:rPr>
          <w:rFonts w:ascii="Tahoma" w:hAnsi="Tahoma" w:cs="Tahoma"/>
          <w:sz w:val="20"/>
          <w:szCs w:val="20"/>
        </w:rPr>
        <w:t xml:space="preserve">včetně příslušenství, dle specifikace uvedené v Příloze č. 1 této smlouvy. </w:t>
      </w:r>
      <w:r w:rsidRPr="009D7E41">
        <w:rPr>
          <w:rFonts w:ascii="Tahoma" w:hAnsi="Tahoma" w:cs="Tahoma"/>
          <w:sz w:val="20"/>
          <w:szCs w:val="20"/>
        </w:rPr>
        <w:t xml:space="preserve">Předmět smlouvy </w:t>
      </w:r>
      <w:r w:rsidR="00066D69" w:rsidRPr="009D7E41">
        <w:rPr>
          <w:rFonts w:ascii="Tahoma" w:hAnsi="Tahoma" w:cs="Tahoma"/>
          <w:sz w:val="20"/>
          <w:szCs w:val="20"/>
        </w:rPr>
        <w:t>musí být nov</w:t>
      </w:r>
      <w:r w:rsidR="0010619D" w:rsidRPr="009D7E41">
        <w:rPr>
          <w:rFonts w:ascii="Tahoma" w:hAnsi="Tahoma" w:cs="Tahoma"/>
          <w:sz w:val="20"/>
          <w:szCs w:val="20"/>
        </w:rPr>
        <w:t>ý</w:t>
      </w:r>
      <w:r w:rsidR="00066D69" w:rsidRPr="009D7E41">
        <w:rPr>
          <w:rFonts w:ascii="Tahoma" w:hAnsi="Tahoma" w:cs="Tahoma"/>
          <w:sz w:val="20"/>
          <w:szCs w:val="20"/>
        </w:rPr>
        <w:t xml:space="preserve"> </w:t>
      </w:r>
      <w:r w:rsidR="00066D69" w:rsidRPr="009D7E41">
        <w:rPr>
          <w:rFonts w:ascii="Tahoma" w:hAnsi="Tahoma" w:cs="Tahoma"/>
          <w:color w:val="000000"/>
          <w:sz w:val="20"/>
          <w:szCs w:val="20"/>
        </w:rPr>
        <w:t>a</w:t>
      </w:r>
      <w:r w:rsidR="00633675" w:rsidRPr="009D7E41">
        <w:rPr>
          <w:rFonts w:ascii="Tahoma" w:hAnsi="Tahoma" w:cs="Tahoma"/>
          <w:color w:val="000000"/>
          <w:sz w:val="20"/>
          <w:szCs w:val="20"/>
        </w:rPr>
        <w:t> </w:t>
      </w:r>
      <w:r w:rsidR="00066D69" w:rsidRPr="009D7E41">
        <w:rPr>
          <w:rFonts w:ascii="Tahoma" w:hAnsi="Tahoma" w:cs="Tahoma"/>
          <w:color w:val="000000"/>
          <w:sz w:val="20"/>
          <w:szCs w:val="20"/>
        </w:rPr>
        <w:t>nepoužívan</w:t>
      </w:r>
      <w:r w:rsidR="0010619D" w:rsidRPr="009D7E41">
        <w:rPr>
          <w:rFonts w:ascii="Tahoma" w:hAnsi="Tahoma" w:cs="Tahoma"/>
          <w:color w:val="000000"/>
          <w:sz w:val="20"/>
          <w:szCs w:val="20"/>
        </w:rPr>
        <w:t>ý</w:t>
      </w:r>
      <w:r w:rsidR="00066D69" w:rsidRPr="009D7E41">
        <w:rPr>
          <w:rFonts w:ascii="Tahoma" w:hAnsi="Tahoma" w:cs="Tahoma"/>
          <w:color w:val="000000"/>
          <w:sz w:val="20"/>
          <w:szCs w:val="20"/>
        </w:rPr>
        <w:t>.</w:t>
      </w:r>
      <w:r w:rsidR="001F7674" w:rsidRPr="009D7E41">
        <w:rPr>
          <w:rFonts w:ascii="Tahoma" w:hAnsi="Tahoma" w:cs="Tahoma"/>
          <w:color w:val="000000"/>
          <w:sz w:val="20"/>
          <w:szCs w:val="20"/>
        </w:rPr>
        <w:t xml:space="preserve"> </w:t>
      </w:r>
    </w:p>
    <w:p w14:paraId="23011869" w14:textId="277A5B7E"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1045DD17" w14:textId="77777777" w:rsidR="00810E99" w:rsidRDefault="00810E99" w:rsidP="007C0279">
      <w:pPr>
        <w:keepNext/>
        <w:widowControl w:val="0"/>
        <w:tabs>
          <w:tab w:val="left" w:pos="-2410"/>
        </w:tabs>
        <w:spacing w:after="120" w:line="276" w:lineRule="auto"/>
        <w:ind w:left="425" w:hanging="425"/>
        <w:jc w:val="center"/>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1646D95A"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8D2ABD">
        <w:rPr>
          <w:rFonts w:ascii="Tahoma" w:hAnsi="Tahoma" w:cs="Tahoma"/>
          <w:sz w:val="20"/>
          <w:szCs w:val="22"/>
        </w:rPr>
        <w:t xml:space="preserve"> za 2 ks</w:t>
      </w:r>
      <w:r w:rsidR="000E5A82" w:rsidRPr="004979E1">
        <w:rPr>
          <w:rFonts w:ascii="Tahoma" w:hAnsi="Tahoma" w:cs="Tahoma"/>
          <w:sz w:val="20"/>
          <w:szCs w:val="22"/>
        </w:rPr>
        <w:t>:</w:t>
      </w:r>
    </w:p>
    <w:p w14:paraId="6C34E2F8"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6D1A4E91" w:rsidR="00E9155E" w:rsidRPr="002B650C" w:rsidRDefault="00ED27B1" w:rsidP="003871B7">
            <w:pPr>
              <w:pStyle w:val="Zhlav"/>
              <w:spacing w:after="120" w:line="276" w:lineRule="auto"/>
              <w:ind w:left="425" w:hanging="425"/>
              <w:jc w:val="center"/>
              <w:rPr>
                <w:rFonts w:ascii="Tahoma" w:hAnsi="Tahoma" w:cs="Tahoma"/>
                <w:color w:val="000000"/>
                <w:sz w:val="20"/>
                <w:szCs w:val="18"/>
              </w:rPr>
            </w:pPr>
            <w:r w:rsidRPr="002B650C">
              <w:rPr>
                <w:rFonts w:ascii="Tahoma" w:hAnsi="Tahoma" w:cs="Tahoma"/>
                <w:color w:val="000000"/>
                <w:sz w:val="20"/>
                <w:szCs w:val="18"/>
              </w:rPr>
              <w:t>571 056,00 Kč</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448DB594" w:rsidR="00E9155E" w:rsidRPr="002B650C" w:rsidRDefault="00ED27B1" w:rsidP="003871B7">
            <w:pPr>
              <w:pStyle w:val="Zhlav"/>
              <w:spacing w:after="120" w:line="276" w:lineRule="auto"/>
              <w:ind w:left="425" w:hanging="425"/>
              <w:jc w:val="center"/>
              <w:rPr>
                <w:rFonts w:ascii="Tahoma" w:hAnsi="Tahoma" w:cs="Tahoma"/>
                <w:color w:val="000000"/>
                <w:sz w:val="20"/>
                <w:szCs w:val="18"/>
              </w:rPr>
            </w:pPr>
            <w:r w:rsidRPr="002B650C">
              <w:rPr>
                <w:rFonts w:ascii="Tahoma" w:hAnsi="Tahoma" w:cs="Tahoma"/>
                <w:color w:val="000000"/>
                <w:sz w:val="20"/>
                <w:szCs w:val="18"/>
              </w:rPr>
              <w:t>119 921,76 Kč</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7F740781" w:rsidR="00E9155E" w:rsidRPr="002B650C" w:rsidRDefault="00ED27B1" w:rsidP="003871B7">
            <w:pPr>
              <w:pStyle w:val="Zhlav"/>
              <w:spacing w:after="120" w:line="276" w:lineRule="auto"/>
              <w:ind w:left="425" w:hanging="425"/>
              <w:jc w:val="center"/>
              <w:rPr>
                <w:rFonts w:ascii="Tahoma" w:hAnsi="Tahoma" w:cs="Tahoma"/>
                <w:color w:val="000000"/>
                <w:sz w:val="20"/>
                <w:szCs w:val="18"/>
              </w:rPr>
            </w:pPr>
            <w:r w:rsidRPr="002B650C">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623273B4" w:rsidR="00E9155E" w:rsidRPr="002B650C" w:rsidRDefault="00ED27B1" w:rsidP="003871B7">
            <w:pPr>
              <w:pStyle w:val="Zhlav"/>
              <w:spacing w:after="120" w:line="276" w:lineRule="auto"/>
              <w:ind w:left="425" w:hanging="425"/>
              <w:jc w:val="center"/>
              <w:rPr>
                <w:rFonts w:ascii="Tahoma" w:hAnsi="Tahoma" w:cs="Tahoma"/>
                <w:color w:val="000000"/>
                <w:sz w:val="20"/>
                <w:szCs w:val="18"/>
              </w:rPr>
            </w:pPr>
            <w:r w:rsidRPr="002B650C">
              <w:rPr>
                <w:rFonts w:ascii="Tahoma" w:hAnsi="Tahoma" w:cs="Tahoma"/>
                <w:color w:val="000000"/>
                <w:sz w:val="20"/>
                <w:szCs w:val="18"/>
              </w:rPr>
              <w:t>690 977,76 Kč</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0722B3AC"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w:t>
      </w:r>
      <w:r w:rsidR="00322992" w:rsidRPr="00322992">
        <w:rPr>
          <w:rFonts w:ascii="Tahoma" w:hAnsi="Tahoma" w:cs="Tahoma"/>
          <w:sz w:val="20"/>
          <w:szCs w:val="20"/>
        </w:rPr>
        <w:lastRenderedPageBreak/>
        <w:t>mu v souvislosti s tím vznikla.</w:t>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0224C62F" w:rsidR="00F81D8E" w:rsidRPr="000241C5"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 xml:space="preserve">pavilon V, </w:t>
      </w:r>
      <w:r w:rsidR="008D2ABD">
        <w:rPr>
          <w:rFonts w:ascii="Tahoma" w:hAnsi="Tahoma" w:cs="Tahoma"/>
          <w:sz w:val="20"/>
          <w:szCs w:val="22"/>
        </w:rPr>
        <w:t>gynekologická ambulance.</w:t>
      </w:r>
    </w:p>
    <w:p w14:paraId="26C852A8" w14:textId="333346C5"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9D7E41">
        <w:rPr>
          <w:rFonts w:ascii="Tahoma" w:hAnsi="Tahoma" w:cs="Tahoma"/>
          <w:b/>
          <w:bCs/>
          <w:sz w:val="20"/>
          <w:szCs w:val="20"/>
        </w:rPr>
        <w:t>60 dnů od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w:t>
      </w:r>
      <w:r w:rsidRPr="00633675">
        <w:rPr>
          <w:rFonts w:ascii="Tahoma" w:hAnsi="Tahoma" w:cs="Tahoma"/>
          <w:sz w:val="20"/>
          <w:szCs w:val="22"/>
        </w:rPr>
        <w:lastRenderedPageBreak/>
        <w:t>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370AF82E" w:rsidR="001F2AC2" w:rsidRPr="001F2AC2" w:rsidRDefault="00EB72C0"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150497">
        <w:rPr>
          <w:rFonts w:ascii="Tahoma" w:hAnsi="Tahoma" w:cs="Tahoma"/>
          <w:sz w:val="20"/>
          <w:szCs w:val="22"/>
        </w:rPr>
        <w:t>xxx</w:t>
      </w:r>
      <w:proofErr w:type="spellEnd"/>
    </w:p>
    <w:p w14:paraId="79AC6D54" w14:textId="5CA9680E" w:rsidR="00066D69" w:rsidRPr="001F2AC2" w:rsidRDefault="00BB0AB3" w:rsidP="001F2AC2">
      <w:pPr>
        <w:numPr>
          <w:ilvl w:val="0"/>
          <w:numId w:val="8"/>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1F2AC2">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1F2AC2">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1F2AC2">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1F2AC2">
      <w:pPr>
        <w:numPr>
          <w:ilvl w:val="0"/>
          <w:numId w:val="8"/>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w:t>
      </w:r>
      <w:r w:rsidRPr="00633675">
        <w:rPr>
          <w:rFonts w:ascii="Tahoma" w:hAnsi="Tahoma" w:cs="Tahoma"/>
          <w:sz w:val="20"/>
          <w:szCs w:val="22"/>
        </w:rPr>
        <w:lastRenderedPageBreak/>
        <w:t>kupujícímu, provedení jeho instalace a uvedení do trvalého provozu a seznámení zaměstnanců uživatele s obsluhou (proškolení zaměstnanců).</w:t>
      </w:r>
    </w:p>
    <w:p w14:paraId="084BD390" w14:textId="40847BFD" w:rsidR="009439E0" w:rsidRPr="00A71287" w:rsidRDefault="00767225" w:rsidP="009439E0">
      <w:pPr>
        <w:numPr>
          <w:ilvl w:val="0"/>
          <w:numId w:val="5"/>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E6187E">
        <w:rPr>
          <w:rFonts w:ascii="Tahoma" w:hAnsi="Tahoma" w:cs="Tahoma"/>
          <w:b/>
          <w:bCs/>
          <w:color w:val="000000"/>
          <w:sz w:val="19"/>
          <w:szCs w:val="19"/>
          <w:shd w:val="clear" w:color="auto" w:fill="FFFFFF"/>
        </w:rPr>
        <w:t>4</w:t>
      </w:r>
      <w:r w:rsidR="004437E9">
        <w:rPr>
          <w:rFonts w:ascii="Tahoma" w:hAnsi="Tahoma" w:cs="Tahoma"/>
          <w:b/>
          <w:bCs/>
          <w:color w:val="000000"/>
          <w:sz w:val="19"/>
          <w:szCs w:val="19"/>
          <w:shd w:val="clear" w:color="auto" w:fill="FFFFFF"/>
        </w:rPr>
        <w:t>/</w:t>
      </w:r>
      <w:r w:rsidR="008D2ABD">
        <w:rPr>
          <w:rFonts w:ascii="Tahoma" w:hAnsi="Tahoma" w:cs="Tahoma"/>
          <w:b/>
          <w:bCs/>
          <w:color w:val="000000"/>
          <w:sz w:val="19"/>
          <w:szCs w:val="19"/>
          <w:shd w:val="clear" w:color="auto" w:fill="FFFFFF"/>
        </w:rPr>
        <w:t>60</w:t>
      </w:r>
      <w:r w:rsidR="009439E0" w:rsidRPr="00A71287">
        <w:rPr>
          <w:rFonts w:ascii="Verdana" w:hAnsi="Verdana"/>
          <w:b/>
          <w:sz w:val="18"/>
          <w:szCs w:val="18"/>
        </w:rPr>
        <w:t>)</w:t>
      </w:r>
      <w:r w:rsidR="009439E0">
        <w:rPr>
          <w:rFonts w:ascii="Verdana" w:hAnsi="Verdana"/>
          <w:b/>
          <w:sz w:val="18"/>
          <w:szCs w:val="18"/>
        </w:rPr>
        <w:t>.</w:t>
      </w:r>
    </w:p>
    <w:p w14:paraId="5DF10A1E" w14:textId="0D0B8836" w:rsidR="00767225" w:rsidRPr="009439E0"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C17EA1">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150497">
        <w:t>xxx</w:t>
      </w:r>
      <w:proofErr w:type="spellEnd"/>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Je-li prodávající plátcem DPH, kupující uplatní institut zvláštního způsobu zajištění daně dle § </w:t>
      </w:r>
      <w:proofErr w:type="gramStart"/>
      <w:r w:rsidRPr="00633675">
        <w:rPr>
          <w:rFonts w:ascii="Tahoma" w:hAnsi="Tahoma" w:cs="Tahoma"/>
          <w:sz w:val="20"/>
          <w:szCs w:val="22"/>
        </w:rPr>
        <w:t>109a</w:t>
      </w:r>
      <w:proofErr w:type="gramEnd"/>
      <w:r w:rsidRPr="00633675">
        <w:rPr>
          <w:rFonts w:ascii="Tahoma" w:hAnsi="Tahoma" w:cs="Tahoma"/>
          <w:sz w:val="20"/>
          <w:szCs w:val="22"/>
        </w:rPr>
        <w:t xml:space="preserve">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C17EA1">
      <w:pPr>
        <w:spacing w:after="120" w:line="276" w:lineRule="auto"/>
        <w:ind w:left="425" w:hanging="425"/>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1D4F47C5" w:rsidR="00066D69" w:rsidRPr="00633675" w:rsidRDefault="001F2AC2" w:rsidP="007C0279">
      <w:pPr>
        <w:numPr>
          <w:ilvl w:val="3"/>
          <w:numId w:val="5"/>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2F5A9D">
        <w:rPr>
          <w:rFonts w:ascii="Tahoma" w:hAnsi="Tahoma" w:cs="Tahoma"/>
          <w:sz w:val="20"/>
          <w:szCs w:val="22"/>
        </w:rPr>
        <w:t> </w:t>
      </w:r>
      <w:r w:rsidRPr="00633675">
        <w:rPr>
          <w:rFonts w:ascii="Tahoma" w:hAnsi="Tahoma" w:cs="Tahoma"/>
          <w:sz w:val="20"/>
          <w:szCs w:val="22"/>
        </w:rPr>
        <w:t>délc</w:t>
      </w:r>
      <w:r w:rsidR="002F5A9D">
        <w:rPr>
          <w:rFonts w:ascii="Tahoma" w:hAnsi="Tahoma" w:cs="Tahoma"/>
          <w:sz w:val="20"/>
          <w:szCs w:val="22"/>
        </w:rPr>
        <w:t xml:space="preserve">e </w:t>
      </w:r>
      <w:r w:rsidR="002F5A9D" w:rsidRPr="002B650C">
        <w:rPr>
          <w:rFonts w:ascii="Tahoma" w:hAnsi="Tahoma" w:cs="Tahoma"/>
          <w:sz w:val="20"/>
          <w:szCs w:val="22"/>
        </w:rPr>
        <w:t>24</w:t>
      </w:r>
      <w:r w:rsidR="002B650C">
        <w:rPr>
          <w:rFonts w:ascii="Tahoma" w:hAnsi="Tahoma" w:cs="Tahoma"/>
          <w:sz w:val="20"/>
          <w:szCs w:val="22"/>
        </w:rPr>
        <w:t xml:space="preserve"> </w:t>
      </w:r>
      <w:r>
        <w:rPr>
          <w:rFonts w:ascii="Tahoma" w:hAnsi="Tahoma" w:cs="Tahoma"/>
          <w:sz w:val="20"/>
          <w:szCs w:val="22"/>
        </w:rPr>
        <w:t>měsíců</w:t>
      </w:r>
      <w:r w:rsidR="002B650C">
        <w:rPr>
          <w:rFonts w:ascii="Tahoma" w:hAnsi="Tahoma" w:cs="Tahoma"/>
          <w:sz w:val="20"/>
          <w:szCs w:val="22"/>
        </w:rPr>
        <w:t>,</w:t>
      </w:r>
      <w:r>
        <w:rPr>
          <w:rFonts w:ascii="Tahoma" w:hAnsi="Tahoma" w:cs="Tahoma"/>
          <w:sz w:val="20"/>
          <w:szCs w:val="22"/>
        </w:rPr>
        <w:t xml:space="preserve">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C17EA1">
      <w:pPr>
        <w:spacing w:after="120" w:line="276" w:lineRule="auto"/>
        <w:ind w:left="425" w:hanging="425"/>
        <w:rPr>
          <w:rFonts w:ascii="Tahoma" w:hAnsi="Tahoma" w:cs="Tahoma"/>
          <w:b/>
          <w:sz w:val="20"/>
          <w:szCs w:val="22"/>
        </w:rPr>
      </w:pPr>
      <w:bookmarkStart w:id="13" w:name="_Hlk81508441"/>
      <w:bookmarkEnd w:id="12"/>
      <w:r w:rsidRPr="00633675">
        <w:rPr>
          <w:rFonts w:ascii="Tahoma" w:hAnsi="Tahoma" w:cs="Tahoma"/>
          <w:b/>
          <w:sz w:val="20"/>
          <w:szCs w:val="22"/>
        </w:rPr>
        <w:lastRenderedPageBreak/>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2F2C1F83" w:rsidR="0023764F" w:rsidRPr="002B650C" w:rsidRDefault="00150497" w:rsidP="001F2AC2">
      <w:pPr>
        <w:pStyle w:val="Odstavecseseznamem"/>
        <w:numPr>
          <w:ilvl w:val="0"/>
          <w:numId w:val="3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4"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3"/>
    <w:bookmarkEnd w:id="14"/>
    <w:p w14:paraId="188AE95F" w14:textId="6DCEFBFD" w:rsidR="00453F1A" w:rsidRPr="00F04C78" w:rsidRDefault="00A5004D" w:rsidP="00453F1A">
      <w:pPr>
        <w:numPr>
          <w:ilvl w:val="3"/>
          <w:numId w:val="5"/>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2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5"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5"/>
    <w:p w14:paraId="27F75D0D" w14:textId="57BC7A8C" w:rsidR="00AC0D11" w:rsidRPr="009D7E4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6ACF7F1A"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6"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4DAE3AE0" w:rsidR="00F82BEA" w:rsidRPr="004235DC"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Pr>
          <w:rFonts w:ascii="Tahoma" w:hAnsi="Tahoma" w:cs="Tahoma"/>
          <w:sz w:val="20"/>
          <w:szCs w:val="22"/>
        </w:rPr>
        <w:t>2</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6A2705">
      <w:pPr>
        <w:pStyle w:val="Import16"/>
        <w:numPr>
          <w:ilvl w:val="0"/>
          <w:numId w:val="6"/>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6"/>
    <w:p w14:paraId="2FE5AA89" w14:textId="77777777" w:rsidR="00475517" w:rsidRPr="00C17EA1" w:rsidRDefault="00475517" w:rsidP="00C17EA1">
      <w:pPr>
        <w:pStyle w:val="Import16"/>
        <w:numPr>
          <w:ilvl w:val="0"/>
          <w:numId w:val="6"/>
        </w:numPr>
        <w:tabs>
          <w:tab w:val="clear" w:pos="360"/>
          <w:tab w:val="clear" w:pos="864"/>
        </w:tabs>
        <w:spacing w:after="120" w:line="276" w:lineRule="auto"/>
        <w:ind w:left="425" w:hanging="425"/>
        <w:jc w:val="both"/>
        <w:rPr>
          <w:rFonts w:ascii="Tahoma" w:hAnsi="Tahoma" w:cs="Tahoma"/>
          <w:sz w:val="20"/>
          <w:szCs w:val="22"/>
        </w:rPr>
      </w:pPr>
      <w:r w:rsidRPr="00C17EA1">
        <w:rPr>
          <w:rFonts w:ascii="Tahoma" w:hAnsi="Tahoma" w:cs="Tahoma"/>
          <w:sz w:val="20"/>
          <w:szCs w:val="22"/>
        </w:rPr>
        <w:lastRenderedPageBreak/>
        <w:t>Pokud prodávající nezajistí kontrolu BTK dle objednávky ze strany kupujícího v limitu k určenému 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8F2DE4">
      <w:pPr>
        <w:pStyle w:val="Smlouva-slo"/>
        <w:numPr>
          <w:ilvl w:val="0"/>
          <w:numId w:val="54"/>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1F2AC2">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753166">
        <w:rPr>
          <w:rFonts w:ascii="Tahoma" w:hAnsi="Tahoma" w:cs="Tahoma"/>
          <w:b/>
          <w:sz w:val="20"/>
          <w:szCs w:val="22"/>
        </w:rPr>
        <w:t>XIII.</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7"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CAFA31E" w:rsidR="00511AD2" w:rsidRPr="009D0281"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4C3A88AD"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7C9A3A99" w14:textId="77777777" w:rsidR="00C17EA1" w:rsidRDefault="00C17EA1" w:rsidP="00C17EA1">
      <w:pPr>
        <w:tabs>
          <w:tab w:val="left" w:pos="0"/>
        </w:tabs>
        <w:spacing w:after="120" w:line="276" w:lineRule="auto"/>
        <w:ind w:left="425"/>
        <w:jc w:val="both"/>
        <w:rPr>
          <w:rFonts w:ascii="Tahoma" w:hAnsi="Tahoma" w:cs="Tahoma"/>
          <w:sz w:val="20"/>
          <w:szCs w:val="22"/>
        </w:rPr>
      </w:pPr>
    </w:p>
    <w:bookmarkEnd w:id="17"/>
    <w:p w14:paraId="2A3D7B8C" w14:textId="308EF6E9"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271275">
      <w:pPr>
        <w:numPr>
          <w:ilvl w:val="0"/>
          <w:numId w:val="59"/>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271275">
      <w:pPr>
        <w:numPr>
          <w:ilvl w:val="0"/>
          <w:numId w:val="59"/>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271275">
      <w:pPr>
        <w:numPr>
          <w:ilvl w:val="0"/>
          <w:numId w:val="59"/>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271275">
      <w:pPr>
        <w:numPr>
          <w:ilvl w:val="0"/>
          <w:numId w:val="59"/>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271275">
      <w:pPr>
        <w:numPr>
          <w:ilvl w:val="0"/>
          <w:numId w:val="59"/>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1BAC26B3" w:rsidR="00271275" w:rsidRDefault="00271275" w:rsidP="00271275">
      <w:pPr>
        <w:numPr>
          <w:ilvl w:val="0"/>
          <w:numId w:val="59"/>
        </w:numPr>
        <w:spacing w:after="120" w:line="276" w:lineRule="auto"/>
        <w:jc w:val="both"/>
        <w:rPr>
          <w:rFonts w:ascii="Tahoma" w:hAnsi="Tahoma" w:cs="Tahoma"/>
          <w:sz w:val="20"/>
          <w:szCs w:val="22"/>
        </w:rPr>
      </w:pPr>
      <w:r w:rsidRPr="00205454">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8" w:history="1">
        <w:r w:rsidR="00C17EA1" w:rsidRPr="00987C6C">
          <w:rPr>
            <w:rStyle w:val="Hypertextovodkaz"/>
            <w:rFonts w:ascii="Tahoma" w:hAnsi="Tahoma" w:cs="Tahoma"/>
            <w:sz w:val="20"/>
            <w:szCs w:val="22"/>
          </w:rPr>
          <w:t>https://www.snopava.cz/nemocnice/ochrana-osobnich-udaju</w:t>
        </w:r>
      </w:hyperlink>
      <w:r>
        <w:rPr>
          <w:rFonts w:ascii="Tahoma" w:hAnsi="Tahoma" w:cs="Tahoma"/>
          <w:sz w:val="20"/>
          <w:szCs w:val="22"/>
        </w:rPr>
        <w:t>.</w:t>
      </w:r>
    </w:p>
    <w:p w14:paraId="58D24C45" w14:textId="77777777" w:rsidR="00C17EA1" w:rsidRPr="00205454" w:rsidRDefault="00C17EA1" w:rsidP="00C17EA1">
      <w:pPr>
        <w:spacing w:after="120" w:line="276" w:lineRule="auto"/>
        <w:ind w:left="360"/>
        <w:jc w:val="both"/>
        <w:rPr>
          <w:rFonts w:ascii="Tahoma" w:hAnsi="Tahoma" w:cs="Tahoma"/>
          <w:sz w:val="20"/>
          <w:szCs w:val="22"/>
        </w:rPr>
      </w:pPr>
    </w:p>
    <w:p w14:paraId="183D8AB0" w14:textId="04A93C46" w:rsidR="004979E1" w:rsidRDefault="00271275" w:rsidP="00A426F7">
      <w:pPr>
        <w:numPr>
          <w:ilvl w:val="0"/>
          <w:numId w:val="59"/>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p w14:paraId="07E8AFB4" w14:textId="77777777" w:rsidR="004A7E2A" w:rsidRPr="004A7E2A" w:rsidRDefault="004A7E2A" w:rsidP="004A7E2A">
      <w:pPr>
        <w:tabs>
          <w:tab w:val="left" w:pos="566"/>
        </w:tabs>
        <w:suppressAutoHyphens/>
        <w:spacing w:after="120" w:line="276" w:lineRule="auto"/>
        <w:ind w:left="426"/>
        <w:jc w:val="both"/>
        <w:rPr>
          <w:rFonts w:ascii="Tahoma" w:hAnsi="Tahoma" w:cs="Tahoma"/>
          <w:sz w:val="20"/>
          <w:szCs w:val="22"/>
        </w:rPr>
      </w:pPr>
    </w:p>
    <w:tbl>
      <w:tblPr>
        <w:tblW w:w="0" w:type="auto"/>
        <w:tblLook w:val="04A0" w:firstRow="1" w:lastRow="0" w:firstColumn="1" w:lastColumn="0" w:noHBand="0" w:noVBand="1"/>
      </w:tblPr>
      <w:tblGrid>
        <w:gridCol w:w="4695"/>
        <w:gridCol w:w="4375"/>
      </w:tblGrid>
      <w:tr w:rsidR="003E7416" w:rsidRPr="00633675" w14:paraId="1339A9B9" w14:textId="77777777" w:rsidTr="00D70880">
        <w:tc>
          <w:tcPr>
            <w:tcW w:w="4581"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4464CA90"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proofErr w:type="spellStart"/>
            <w:r w:rsidR="002F5A9D">
              <w:rPr>
                <w:rFonts w:ascii="Tahoma" w:hAnsi="Tahoma" w:cs="Tahoma"/>
                <w:sz w:val="20"/>
                <w:szCs w:val="20"/>
              </w:rPr>
              <w:t>Želevčicích</w:t>
            </w:r>
            <w:proofErr w:type="spellEnd"/>
            <w:r w:rsidR="002F5A9D">
              <w:rPr>
                <w:rFonts w:ascii="Tahoma" w:hAnsi="Tahoma" w:cs="Tahoma"/>
                <w:sz w:val="20"/>
                <w:szCs w:val="20"/>
              </w:rPr>
              <w:t xml:space="preserve"> </w:t>
            </w:r>
            <w:r w:rsidRPr="00633675">
              <w:rPr>
                <w:rFonts w:ascii="Tahoma" w:hAnsi="Tahoma" w:cs="Tahoma"/>
                <w:sz w:val="20"/>
                <w:szCs w:val="20"/>
              </w:rPr>
              <w:t xml:space="preserve">dne  </w:t>
            </w:r>
          </w:p>
        </w:tc>
      </w:tr>
      <w:tr w:rsidR="003E7416" w:rsidRPr="00633675" w14:paraId="2655E147" w14:textId="77777777" w:rsidTr="004A7E2A">
        <w:trPr>
          <w:trHeight w:val="1162"/>
        </w:trPr>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1EE421FF" w14:textId="77777777" w:rsidR="008403EA" w:rsidRPr="00633675" w:rsidRDefault="008403EA" w:rsidP="007C0279">
            <w:pPr>
              <w:tabs>
                <w:tab w:val="left" w:pos="2707"/>
              </w:tabs>
              <w:spacing w:after="120" w:line="276" w:lineRule="auto"/>
              <w:ind w:left="425" w:hanging="425"/>
              <w:jc w:val="both"/>
              <w:rPr>
                <w:rFonts w:ascii="Tahoma" w:hAnsi="Tahoma" w:cs="Tahoma"/>
                <w:sz w:val="20"/>
                <w:szCs w:val="20"/>
              </w:rPr>
            </w:pPr>
          </w:p>
          <w:p w14:paraId="284B5319" w14:textId="77777777" w:rsidR="008F2DE4" w:rsidRDefault="008F2DE4" w:rsidP="007C0279">
            <w:pPr>
              <w:tabs>
                <w:tab w:val="left" w:pos="2707"/>
              </w:tabs>
              <w:spacing w:after="120" w:line="276" w:lineRule="auto"/>
              <w:ind w:left="425" w:hanging="425"/>
              <w:jc w:val="both"/>
              <w:rPr>
                <w:rFonts w:ascii="Tahoma" w:hAnsi="Tahoma" w:cs="Tahoma"/>
                <w:sz w:val="20"/>
                <w:szCs w:val="20"/>
              </w:rPr>
            </w:pPr>
          </w:p>
          <w:p w14:paraId="76094669" w14:textId="0CC58396"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____</w:t>
            </w:r>
            <w:r w:rsidR="00150497">
              <w:rPr>
                <w:rFonts w:ascii="Tahoma" w:hAnsi="Tahoma" w:cs="Tahoma"/>
                <w:sz w:val="20"/>
                <w:szCs w:val="20"/>
              </w:rPr>
              <w:t>12.12.2024</w:t>
            </w:r>
            <w:r w:rsidRPr="00633675">
              <w:rPr>
                <w:rFonts w:ascii="Tahoma" w:hAnsi="Tahoma" w:cs="Tahoma"/>
                <w:sz w:val="20"/>
                <w:szCs w:val="20"/>
              </w:rPr>
              <w:t>_____________________________</w:t>
            </w:r>
          </w:p>
        </w:tc>
        <w:tc>
          <w:tcPr>
            <w:tcW w:w="4705"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30F8F533" w14:textId="77777777" w:rsidR="008403EA" w:rsidRDefault="008403EA" w:rsidP="007C0279">
            <w:pPr>
              <w:tabs>
                <w:tab w:val="left" w:pos="2707"/>
              </w:tabs>
              <w:spacing w:after="120" w:line="276" w:lineRule="auto"/>
              <w:ind w:left="425" w:hanging="425"/>
              <w:jc w:val="both"/>
              <w:rPr>
                <w:rFonts w:ascii="Tahoma" w:hAnsi="Tahoma" w:cs="Tahoma"/>
                <w:sz w:val="20"/>
                <w:szCs w:val="20"/>
              </w:rPr>
            </w:pPr>
          </w:p>
          <w:p w14:paraId="0DB7D185" w14:textId="77777777" w:rsidR="008F2DE4" w:rsidRPr="00633675" w:rsidRDefault="008F2DE4" w:rsidP="007C0279">
            <w:pPr>
              <w:tabs>
                <w:tab w:val="left" w:pos="2707"/>
              </w:tabs>
              <w:spacing w:after="120" w:line="276" w:lineRule="auto"/>
              <w:ind w:left="425" w:hanging="425"/>
              <w:jc w:val="both"/>
              <w:rPr>
                <w:rFonts w:ascii="Tahoma" w:hAnsi="Tahoma" w:cs="Tahoma"/>
                <w:sz w:val="20"/>
                <w:szCs w:val="20"/>
              </w:rPr>
            </w:pPr>
          </w:p>
          <w:p w14:paraId="4B0F55A8" w14:textId="0F941F7A"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lastRenderedPageBreak/>
              <w:t>________</w:t>
            </w:r>
            <w:r w:rsidR="00150497">
              <w:rPr>
                <w:rFonts w:ascii="Tahoma" w:hAnsi="Tahoma" w:cs="Tahoma"/>
                <w:sz w:val="20"/>
                <w:szCs w:val="20"/>
              </w:rPr>
              <w:t>12.12.2024</w:t>
            </w:r>
            <w:bookmarkStart w:id="18" w:name="_GoBack"/>
            <w:bookmarkEnd w:id="18"/>
            <w:r w:rsidRPr="00633675">
              <w:rPr>
                <w:rFonts w:ascii="Tahoma" w:hAnsi="Tahoma" w:cs="Tahoma"/>
                <w:sz w:val="20"/>
                <w:szCs w:val="20"/>
              </w:rPr>
              <w:t>______________________</w:t>
            </w:r>
          </w:p>
        </w:tc>
      </w:tr>
    </w:tbl>
    <w:p w14:paraId="4CF534AE" w14:textId="77777777" w:rsidR="002F5A9D" w:rsidRDefault="00D70880" w:rsidP="002F5A9D">
      <w:pPr>
        <w:tabs>
          <w:tab w:val="left" w:pos="2520"/>
        </w:tabs>
        <w:spacing w:after="120" w:line="276" w:lineRule="auto"/>
        <w:ind w:left="4254" w:hanging="4248"/>
        <w:jc w:val="both"/>
        <w:rPr>
          <w:rFonts w:ascii="Tahoma" w:hAnsi="Tahoma" w:cs="Tahoma"/>
          <w:sz w:val="20"/>
          <w:szCs w:val="20"/>
        </w:rPr>
      </w:pPr>
      <w:r w:rsidRPr="00633675">
        <w:rPr>
          <w:rFonts w:ascii="Tahoma" w:hAnsi="Tahoma" w:cs="Tahoma"/>
          <w:sz w:val="20"/>
          <w:szCs w:val="20"/>
        </w:rPr>
        <w:lastRenderedPageBreak/>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2F5A9D">
        <w:rPr>
          <w:rFonts w:ascii="Tahoma" w:hAnsi="Tahoma" w:cs="Tahoma"/>
          <w:sz w:val="20"/>
          <w:szCs w:val="20"/>
        </w:rPr>
        <w:t xml:space="preserve">    Petr Smetana, vedoucí podpory obchodu pro ČR,</w:t>
      </w:r>
    </w:p>
    <w:p w14:paraId="47B03310" w14:textId="7DD8DF50" w:rsidR="003E7416" w:rsidRPr="00633675" w:rsidRDefault="002F5A9D" w:rsidP="002F5A9D">
      <w:pPr>
        <w:tabs>
          <w:tab w:val="left" w:pos="2520"/>
        </w:tabs>
        <w:spacing w:after="120" w:line="276" w:lineRule="auto"/>
        <w:ind w:left="4254" w:hanging="4248"/>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    v plné moci</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050F6B22" w14:textId="77777777" w:rsidR="009D7E41" w:rsidRDefault="009D7E41">
      <w:pPr>
        <w:rPr>
          <w:rFonts w:ascii="Tahoma" w:hAnsi="Tahoma" w:cs="Tahoma"/>
          <w:b/>
          <w:iCs/>
          <w:sz w:val="20"/>
          <w:szCs w:val="22"/>
          <w:u w:val="single"/>
        </w:rPr>
      </w:pPr>
      <w:r>
        <w:rPr>
          <w:rFonts w:ascii="Tahoma" w:hAnsi="Tahoma" w:cs="Tahoma"/>
          <w:b/>
          <w:iCs/>
          <w:sz w:val="20"/>
          <w:szCs w:val="22"/>
          <w:u w:val="single"/>
        </w:rPr>
        <w:br w:type="page"/>
      </w:r>
    </w:p>
    <w:p w14:paraId="40B56C3E" w14:textId="31FDD9F5" w:rsid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729F6012" w14:textId="1C5DF50C" w:rsidR="00470F8A" w:rsidRDefault="00470F8A" w:rsidP="00B40FDD">
      <w:pPr>
        <w:tabs>
          <w:tab w:val="left" w:pos="2520"/>
        </w:tabs>
        <w:spacing w:after="120" w:line="276" w:lineRule="auto"/>
        <w:ind w:left="425" w:hanging="425"/>
        <w:jc w:val="both"/>
        <w:rPr>
          <w:rFonts w:ascii="Tahoma" w:hAnsi="Tahoma" w:cs="Tahoma"/>
          <w:iCs/>
          <w:sz w:val="20"/>
          <w:szCs w:val="22"/>
        </w:rPr>
      </w:pPr>
      <w:r w:rsidRPr="00470F8A">
        <w:rPr>
          <w:rFonts w:ascii="Tahoma" w:hAnsi="Tahoma" w:cs="Tahoma"/>
          <w:iCs/>
          <w:sz w:val="20"/>
          <w:szCs w:val="22"/>
        </w:rPr>
        <w:t xml:space="preserve">Gynekologické křeslo </w:t>
      </w:r>
      <w:proofErr w:type="spellStart"/>
      <w:r w:rsidRPr="00470F8A">
        <w:rPr>
          <w:rFonts w:ascii="Tahoma" w:hAnsi="Tahoma" w:cs="Tahoma"/>
          <w:iCs/>
          <w:sz w:val="20"/>
          <w:szCs w:val="22"/>
        </w:rPr>
        <w:t>Gracie</w:t>
      </w:r>
      <w:proofErr w:type="spellEnd"/>
    </w:p>
    <w:p w14:paraId="5B8E991C" w14:textId="24687D2D" w:rsidR="00470F8A" w:rsidRDefault="00470F8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Odstíny matrace: kukuřicově žlutá F2/6586</w:t>
      </w:r>
    </w:p>
    <w:p w14:paraId="5796EC5B" w14:textId="391E0BB3" w:rsidR="00470F8A" w:rsidRDefault="00470F8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Plochý podhlavník</w:t>
      </w:r>
    </w:p>
    <w:p w14:paraId="50B3AE43" w14:textId="33383DE9" w:rsidR="00470F8A" w:rsidRDefault="00470F8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Barva lakovaných částí lůžka: RAL9009 EA6542</w:t>
      </w:r>
    </w:p>
    <w:p w14:paraId="0FABD9C8" w14:textId="67A12187" w:rsidR="00470F8A" w:rsidRDefault="00470F8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Podpěry novou a stehen s integrovaným světlem</w:t>
      </w:r>
    </w:p>
    <w:p w14:paraId="2B9027D6" w14:textId="518DAC7F" w:rsidR="00470F8A" w:rsidRDefault="00470F8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PVC povlak sedáku</w:t>
      </w:r>
    </w:p>
    <w:p w14:paraId="431F5536" w14:textId="09991104" w:rsidR="00470F8A" w:rsidRDefault="00470F8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Napětí 230 V</w:t>
      </w:r>
      <w:r w:rsidR="0043134A">
        <w:rPr>
          <w:rFonts w:ascii="Tahoma" w:hAnsi="Tahoma" w:cs="Tahoma"/>
          <w:iCs/>
          <w:sz w:val="20"/>
          <w:szCs w:val="22"/>
        </w:rPr>
        <w:t> </w:t>
      </w:r>
      <w:r>
        <w:rPr>
          <w:rFonts w:ascii="Tahoma" w:hAnsi="Tahoma" w:cs="Tahoma"/>
          <w:iCs/>
          <w:sz w:val="20"/>
          <w:szCs w:val="22"/>
        </w:rPr>
        <w:t>50</w:t>
      </w:r>
      <w:r w:rsidR="0043134A">
        <w:rPr>
          <w:rFonts w:ascii="Tahoma" w:hAnsi="Tahoma" w:cs="Tahoma"/>
          <w:iCs/>
          <w:sz w:val="20"/>
          <w:szCs w:val="22"/>
        </w:rPr>
        <w:t>/60 Hz</w:t>
      </w:r>
    </w:p>
    <w:p w14:paraId="502E6F70" w14:textId="000D4331" w:rsidR="0043134A" w:rsidRDefault="0043134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EU zástrčka (typ E/F)</w:t>
      </w:r>
    </w:p>
    <w:p w14:paraId="17D75012" w14:textId="05985A6C" w:rsidR="0043134A" w:rsidRDefault="0043134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Spirálový šedý vodič</w:t>
      </w:r>
    </w:p>
    <w:p w14:paraId="40D1A2CC" w14:textId="41E30714" w:rsidR="0043134A" w:rsidRDefault="0043134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Držák role papírového ručníku</w:t>
      </w:r>
    </w:p>
    <w:p w14:paraId="3D9350C6" w14:textId="76F9B07C" w:rsidR="0043134A" w:rsidRDefault="0043134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Podpěra novou lékaře</w:t>
      </w:r>
    </w:p>
    <w:p w14:paraId="63F48519" w14:textId="41E8899B" w:rsidR="0043134A" w:rsidRDefault="0043134A" w:rsidP="00B40FDD">
      <w:pPr>
        <w:tabs>
          <w:tab w:val="left" w:pos="2520"/>
        </w:tabs>
        <w:spacing w:after="120" w:line="276" w:lineRule="auto"/>
        <w:ind w:left="425" w:hanging="425"/>
        <w:jc w:val="both"/>
        <w:rPr>
          <w:rFonts w:ascii="Tahoma" w:hAnsi="Tahoma" w:cs="Tahoma"/>
          <w:iCs/>
          <w:sz w:val="20"/>
          <w:szCs w:val="22"/>
        </w:rPr>
      </w:pPr>
      <w:r>
        <w:rPr>
          <w:rFonts w:ascii="Tahoma" w:hAnsi="Tahoma" w:cs="Tahoma"/>
          <w:iCs/>
          <w:sz w:val="20"/>
          <w:szCs w:val="22"/>
        </w:rPr>
        <w:t>Držák nerezové misky + miska</w:t>
      </w:r>
    </w:p>
    <w:p w14:paraId="10F3C7EB" w14:textId="77777777" w:rsidR="0043134A" w:rsidRPr="00470F8A" w:rsidRDefault="0043134A" w:rsidP="00B40FDD">
      <w:pPr>
        <w:tabs>
          <w:tab w:val="left" w:pos="2520"/>
        </w:tabs>
        <w:spacing w:after="120" w:line="276" w:lineRule="auto"/>
        <w:ind w:left="425" w:hanging="425"/>
        <w:jc w:val="both"/>
        <w:rPr>
          <w:rFonts w:ascii="Tahoma" w:hAnsi="Tahoma" w:cs="Tahoma"/>
          <w:iCs/>
          <w:sz w:val="20"/>
          <w:szCs w:val="22"/>
        </w:rPr>
      </w:pPr>
    </w:p>
    <w:sectPr w:rsidR="0043134A" w:rsidRPr="00470F8A" w:rsidSect="00D83A06">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5A770" w14:textId="77777777" w:rsidR="009D0BB6" w:rsidRDefault="009D0BB6">
      <w:r>
        <w:separator/>
      </w:r>
    </w:p>
    <w:p w14:paraId="5F05601B" w14:textId="77777777" w:rsidR="009D0BB6" w:rsidRDefault="009D0BB6"/>
  </w:endnote>
  <w:endnote w:type="continuationSeparator" w:id="0">
    <w:p w14:paraId="2A2AABC2" w14:textId="77777777" w:rsidR="009D0BB6" w:rsidRDefault="009D0BB6">
      <w:r>
        <w:continuationSeparator/>
      </w:r>
    </w:p>
    <w:p w14:paraId="420BE999" w14:textId="77777777" w:rsidR="009D0BB6" w:rsidRDefault="009D0BB6"/>
    <w:p w14:paraId="5E0D6E4B" w14:textId="77777777" w:rsidR="009D0BB6" w:rsidRDefault="009D0BB6">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9D0BB6">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7BA9FDD1"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sidR="008D2ABD">
      <w:rPr>
        <w:rFonts w:ascii="Verdana" w:hAnsi="Verdana"/>
        <w:sz w:val="18"/>
        <w:szCs w:val="18"/>
      </w:rPr>
      <w:t>60</w:t>
    </w:r>
    <w:r>
      <w:rPr>
        <w:rFonts w:ascii="Verdana" w:hAnsi="Verdana"/>
        <w:sz w:val="18"/>
        <w:szCs w:val="18"/>
      </w:rPr>
      <w:t>/</w:t>
    </w:r>
    <w:r w:rsidR="008D2ABD">
      <w:rPr>
        <w:rFonts w:ascii="Verdana" w:hAnsi="Verdana"/>
        <w:sz w:val="18"/>
        <w:szCs w:val="18"/>
      </w:rPr>
      <w:t>2 ks vyšetřovacích stolů</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9D0BB6">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1500" w14:textId="77777777" w:rsidR="009D0BB6" w:rsidRDefault="009D0BB6">
      <w:r>
        <w:separator/>
      </w:r>
    </w:p>
    <w:p w14:paraId="6D209177" w14:textId="77777777" w:rsidR="009D0BB6" w:rsidRDefault="009D0BB6"/>
  </w:footnote>
  <w:footnote w:type="continuationSeparator" w:id="0">
    <w:p w14:paraId="6F82859B" w14:textId="77777777" w:rsidR="009D0BB6" w:rsidRDefault="009D0BB6">
      <w:r>
        <w:continuationSeparator/>
      </w:r>
    </w:p>
    <w:p w14:paraId="7D4C80CB" w14:textId="77777777" w:rsidR="009D0BB6" w:rsidRDefault="009D0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9"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D44F02"/>
    <w:multiLevelType w:val="hybridMultilevel"/>
    <w:tmpl w:val="69B48FCA"/>
    <w:lvl w:ilvl="0" w:tplc="CCD20CF0">
      <w:start w:val="1"/>
      <w:numFmt w:val="bullet"/>
      <w:lvlText w:val=""/>
      <w:lvlJc w:val="left"/>
      <w:pPr>
        <w:ind w:left="1145" w:hanging="360"/>
      </w:pPr>
      <w:rPr>
        <w:rFonts w:ascii="Symbol" w:hAnsi="Symbol"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5"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8F50B8"/>
    <w:multiLevelType w:val="multilevel"/>
    <w:tmpl w:val="CB6ED5C4"/>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1"/>
  </w:num>
  <w:num w:numId="2">
    <w:abstractNumId w:val="14"/>
  </w:num>
  <w:num w:numId="3">
    <w:abstractNumId w:val="43"/>
  </w:num>
  <w:num w:numId="4">
    <w:abstractNumId w:val="7"/>
  </w:num>
  <w:num w:numId="5">
    <w:abstractNumId w:val="16"/>
  </w:num>
  <w:num w:numId="6">
    <w:abstractNumId w:val="31"/>
  </w:num>
  <w:num w:numId="7">
    <w:abstractNumId w:val="34"/>
  </w:num>
  <w:num w:numId="8">
    <w:abstractNumId w:val="9"/>
  </w:num>
  <w:num w:numId="9">
    <w:abstractNumId w:val="20"/>
  </w:num>
  <w:num w:numId="10">
    <w:abstractNumId w:val="36"/>
  </w:num>
  <w:num w:numId="11">
    <w:abstractNumId w:val="18"/>
  </w:num>
  <w:num w:numId="12">
    <w:abstractNumId w:val="41"/>
  </w:num>
  <w:num w:numId="13">
    <w:abstractNumId w:val="47"/>
  </w:num>
  <w:num w:numId="14">
    <w:abstractNumId w:val="37"/>
  </w:num>
  <w:num w:numId="15">
    <w:abstractNumId w:val="46"/>
  </w:num>
  <w:num w:numId="16">
    <w:abstractNumId w:val="15"/>
  </w:num>
  <w:num w:numId="17">
    <w:abstractNumId w:val="30"/>
  </w:num>
  <w:num w:numId="18">
    <w:abstractNumId w:val="17"/>
  </w:num>
  <w:num w:numId="19">
    <w:abstractNumId w:val="19"/>
  </w:num>
  <w:num w:numId="20">
    <w:abstractNumId w:val="35"/>
  </w:num>
  <w:num w:numId="21">
    <w:abstractNumId w:val="0"/>
  </w:num>
  <w:num w:numId="22">
    <w:abstractNumId w:val="49"/>
  </w:num>
  <w:num w:numId="23">
    <w:abstractNumId w:val="8"/>
  </w:num>
  <w:num w:numId="24">
    <w:abstractNumId w:val="26"/>
  </w:num>
  <w:num w:numId="25">
    <w:abstractNumId w:val="13"/>
  </w:num>
  <w:num w:numId="26">
    <w:abstractNumId w:val="23"/>
  </w:num>
  <w:num w:numId="27">
    <w:abstractNumId w:val="45"/>
  </w:num>
  <w:num w:numId="28">
    <w:abstractNumId w:val="11"/>
  </w:num>
  <w:num w:numId="29">
    <w:abstractNumId w:val="48"/>
  </w:num>
  <w:num w:numId="30">
    <w:abstractNumId w:val="10"/>
  </w:num>
  <w:num w:numId="31">
    <w:abstractNumId w:val="12"/>
  </w:num>
  <w:num w:numId="32">
    <w:abstractNumId w:val="6"/>
  </w:num>
  <w:num w:numId="33">
    <w:abstractNumId w:val="5"/>
  </w:num>
  <w:num w:numId="34">
    <w:abstractNumId w:val="38"/>
  </w:num>
  <w:num w:numId="35">
    <w:abstractNumId w:val="22"/>
  </w:num>
  <w:num w:numId="36">
    <w:abstractNumId w:val="4"/>
  </w:num>
  <w:num w:numId="37">
    <w:abstractNumId w:val="24"/>
  </w:num>
  <w:num w:numId="38">
    <w:abstractNumId w:val="32"/>
  </w:num>
  <w:num w:numId="39">
    <w:abstractNumId w:val="40"/>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7"/>
  </w:num>
  <w:num w:numId="50">
    <w:abstractNumId w:val="28"/>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2"/>
  </w:num>
  <w:num w:numId="54">
    <w:abstractNumId w:val="33"/>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074C"/>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0497"/>
    <w:rsid w:val="00160D28"/>
    <w:rsid w:val="001621C2"/>
    <w:rsid w:val="00164947"/>
    <w:rsid w:val="001672C4"/>
    <w:rsid w:val="00167517"/>
    <w:rsid w:val="001704CD"/>
    <w:rsid w:val="00173C63"/>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481"/>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7324"/>
    <w:rsid w:val="002B0CD7"/>
    <w:rsid w:val="002B339C"/>
    <w:rsid w:val="002B3FE0"/>
    <w:rsid w:val="002B4CED"/>
    <w:rsid w:val="002B650C"/>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2F5A9D"/>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A3E"/>
    <w:rsid w:val="00351FE6"/>
    <w:rsid w:val="00352218"/>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201E"/>
    <w:rsid w:val="003D4C8F"/>
    <w:rsid w:val="003D5EC4"/>
    <w:rsid w:val="003E1214"/>
    <w:rsid w:val="003E7416"/>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134A"/>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0F8A"/>
    <w:rsid w:val="00474BE2"/>
    <w:rsid w:val="00475517"/>
    <w:rsid w:val="00476CA3"/>
    <w:rsid w:val="00481AD0"/>
    <w:rsid w:val="00481D88"/>
    <w:rsid w:val="00484A73"/>
    <w:rsid w:val="00486F0C"/>
    <w:rsid w:val="00487C11"/>
    <w:rsid w:val="00493476"/>
    <w:rsid w:val="004948B1"/>
    <w:rsid w:val="004979E1"/>
    <w:rsid w:val="004A05C6"/>
    <w:rsid w:val="004A3939"/>
    <w:rsid w:val="004A5D34"/>
    <w:rsid w:val="004A628A"/>
    <w:rsid w:val="004A7E2A"/>
    <w:rsid w:val="004B0BAD"/>
    <w:rsid w:val="004B1C50"/>
    <w:rsid w:val="004B3347"/>
    <w:rsid w:val="004B4E16"/>
    <w:rsid w:val="004B505D"/>
    <w:rsid w:val="004B69E4"/>
    <w:rsid w:val="004C125A"/>
    <w:rsid w:val="004C3E58"/>
    <w:rsid w:val="004D2942"/>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1FE"/>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D2F25"/>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58F8"/>
    <w:rsid w:val="006A7418"/>
    <w:rsid w:val="006B2470"/>
    <w:rsid w:val="006B2E41"/>
    <w:rsid w:val="006B503D"/>
    <w:rsid w:val="006C0088"/>
    <w:rsid w:val="006C227E"/>
    <w:rsid w:val="006C4042"/>
    <w:rsid w:val="006C5369"/>
    <w:rsid w:val="006C58FF"/>
    <w:rsid w:val="006D31E3"/>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280"/>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2ABD"/>
    <w:rsid w:val="008D33B2"/>
    <w:rsid w:val="008D59FD"/>
    <w:rsid w:val="008D5BDB"/>
    <w:rsid w:val="008E1A43"/>
    <w:rsid w:val="008E771E"/>
    <w:rsid w:val="008F02B0"/>
    <w:rsid w:val="008F0621"/>
    <w:rsid w:val="008F2DE4"/>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13C2"/>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0281"/>
    <w:rsid w:val="009D0674"/>
    <w:rsid w:val="009D0BB6"/>
    <w:rsid w:val="009D444F"/>
    <w:rsid w:val="009D5FD1"/>
    <w:rsid w:val="009D6297"/>
    <w:rsid w:val="009D79CA"/>
    <w:rsid w:val="009D7E41"/>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16D20"/>
    <w:rsid w:val="00A202A0"/>
    <w:rsid w:val="00A20AF9"/>
    <w:rsid w:val="00A219A2"/>
    <w:rsid w:val="00A22C93"/>
    <w:rsid w:val="00A22E35"/>
    <w:rsid w:val="00A3335D"/>
    <w:rsid w:val="00A33DD0"/>
    <w:rsid w:val="00A350FA"/>
    <w:rsid w:val="00A35581"/>
    <w:rsid w:val="00A36E8B"/>
    <w:rsid w:val="00A458B5"/>
    <w:rsid w:val="00A5004D"/>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A5697"/>
    <w:rsid w:val="00AB1FF8"/>
    <w:rsid w:val="00AB5B15"/>
    <w:rsid w:val="00AB6033"/>
    <w:rsid w:val="00AB67E5"/>
    <w:rsid w:val="00AC0D11"/>
    <w:rsid w:val="00AC1F90"/>
    <w:rsid w:val="00AC486E"/>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502"/>
    <w:rsid w:val="00B60673"/>
    <w:rsid w:val="00B6133F"/>
    <w:rsid w:val="00B61C73"/>
    <w:rsid w:val="00B62792"/>
    <w:rsid w:val="00B63017"/>
    <w:rsid w:val="00B63C03"/>
    <w:rsid w:val="00B66E29"/>
    <w:rsid w:val="00B677D2"/>
    <w:rsid w:val="00B73E2B"/>
    <w:rsid w:val="00B7455C"/>
    <w:rsid w:val="00B805D4"/>
    <w:rsid w:val="00B8371E"/>
    <w:rsid w:val="00B83C29"/>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17EA1"/>
    <w:rsid w:val="00C20471"/>
    <w:rsid w:val="00C20853"/>
    <w:rsid w:val="00C21325"/>
    <w:rsid w:val="00C252C1"/>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20A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36DE"/>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5D12"/>
    <w:rsid w:val="00EB72C0"/>
    <w:rsid w:val="00EC2082"/>
    <w:rsid w:val="00EC2F17"/>
    <w:rsid w:val="00EC34E4"/>
    <w:rsid w:val="00EC3640"/>
    <w:rsid w:val="00EC466D"/>
    <w:rsid w:val="00EC49AB"/>
    <w:rsid w:val="00EC73D9"/>
    <w:rsid w:val="00ED04D6"/>
    <w:rsid w:val="00ED0F9F"/>
    <w:rsid w:val="00ED27B1"/>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5D65"/>
    <w:rsid w:val="00F50C30"/>
    <w:rsid w:val="00F514D6"/>
    <w:rsid w:val="00F57658"/>
    <w:rsid w:val="00F57C74"/>
    <w:rsid w:val="00F6007D"/>
    <w:rsid w:val="00F609E4"/>
    <w:rsid w:val="00F6515B"/>
    <w:rsid w:val="00F65D8D"/>
    <w:rsid w:val="00F81D8E"/>
    <w:rsid w:val="00F82BEA"/>
    <w:rsid w:val="00F85064"/>
    <w:rsid w:val="00F90C11"/>
    <w:rsid w:val="00FA1B5E"/>
    <w:rsid w:val="00FA668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E7D06"/>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5"/>
      </w:numPr>
      <w:spacing w:before="60"/>
    </w:pPr>
    <w:rPr>
      <w:rFonts w:ascii="Franklin Gothic Book" w:hAnsi="Franklin Gothic Book"/>
      <w:sz w:val="16"/>
      <w:szCs w:val="17"/>
    </w:rPr>
  </w:style>
  <w:style w:type="character" w:styleId="Nevyeenzmnka">
    <w:name w:val="Unresolved Mention"/>
    <w:basedOn w:val="Standardnpsmoodstavce"/>
    <w:uiPriority w:val="99"/>
    <w:semiHidden/>
    <w:unhideWhenUsed/>
    <w:rsid w:val="00C1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opava.cz/nemocnice/ochrana-osobnich-uda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A83A-8CCC-4088-959A-D065D988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3322</Words>
  <Characters>19600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2024-12-10T09:11:00Z</cp:lastPrinted>
  <dcterms:created xsi:type="dcterms:W3CDTF">2024-12-12T09:47:00Z</dcterms:created>
  <dcterms:modified xsi:type="dcterms:W3CDTF">2024-12-12T09:47:00Z</dcterms:modified>
</cp:coreProperties>
</file>