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166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4"/>
          <w:szCs w:val="24"/>
        </w:rPr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tabs>
          <w:tab w:pos="3432" w:val="left"/>
        </w:tabs>
        <w:bidi w:val="0"/>
        <w:spacing w:before="0" w:after="0" w:line="218" w:lineRule="auto"/>
        <w:ind w:left="0" w:right="0" w:firstLine="0"/>
        <w:jc w:val="center"/>
        <w:rPr>
          <w:sz w:val="24"/>
          <w:szCs w:val="24"/>
        </w:rPr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objednatele:</w:t>
        <w:tab/>
        <w:t>534/2024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tabs>
          <w:tab w:pos="3432" w:val="left"/>
        </w:tabs>
        <w:bidi w:val="0"/>
        <w:spacing w:before="0" w:after="200" w:line="218" w:lineRule="auto"/>
        <w:ind w:left="0" w:right="0" w:firstLine="0"/>
        <w:jc w:val="center"/>
        <w:rPr>
          <w:sz w:val="24"/>
          <w:szCs w:val="24"/>
        </w:rPr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zhotovitele:</w:t>
        <w:tab/>
        <w:t>12_2024</w:t>
      </w:r>
      <w:bookmarkEnd w:id="12"/>
      <w:bookmarkEnd w:id="13"/>
      <w:bookmarkEnd w:id="1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27"/>
      <w:bookmarkEnd w:id="2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29"/>
      <w:bookmarkEnd w:id="30"/>
      <w:bookmarkEnd w:id="31"/>
    </w:p>
    <w:p>
      <w:pPr>
        <w:pStyle w:val="Style2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2"/>
      <w:bookmarkEnd w:id="33"/>
      <w:bookmarkEnd w:id="34"/>
    </w:p>
    <w:p>
      <w:pPr>
        <w:pStyle w:val="Style2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5"/>
      <w:bookmarkEnd w:id="36"/>
      <w:bookmarkEnd w:id="3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8"/>
      <w:bookmarkEnd w:id="39"/>
      <w:bookmarkEnd w:id="4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1"/>
      <w:bookmarkEnd w:id="42"/>
      <w:bookmarkEnd w:id="4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4"/>
      <w:bookmarkEnd w:id="45"/>
      <w:bookmarkEnd w:id="4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7"/>
      <w:bookmarkEnd w:id="48"/>
      <w:bookmarkEnd w:id="49"/>
    </w:p>
    <w:p>
      <w:pPr>
        <w:pStyle w:val="Style2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FINSTAV Vodohospodářská stavební s.r.o.</w:t>
      </w:r>
      <w:bookmarkEnd w:id="50"/>
      <w:bookmarkEnd w:id="51"/>
      <w:bookmarkEnd w:id="52"/>
    </w:p>
    <w:p>
      <w:pPr>
        <w:pStyle w:val="Style2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Černovická 4264, 430 03 Chomutov</w:t>
      </w:r>
      <w:bookmarkEnd w:id="53"/>
      <w:bookmarkEnd w:id="54"/>
      <w:bookmarkEnd w:id="5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56"/>
      <w:bookmarkEnd w:id="57"/>
      <w:bookmarkEnd w:id="5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59"/>
      <w:bookmarkEnd w:id="60"/>
      <w:bookmarkEnd w:id="6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62"/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44567731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CZ44567731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tabs>
          <w:tab w:pos="2117" w:val="left"/>
        </w:tabs>
        <w:bidi w:val="0"/>
        <w:spacing w:before="0" w:after="20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bookmarkStart w:id="87" w:name="bookmark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C, vložce č. 2125 tel.:</w:t>
        <w:tab/>
        <w:t>e-mail:</w:t>
      </w:r>
      <w:bookmarkEnd w:id="84"/>
      <w:bookmarkEnd w:id="85"/>
      <w:bookmarkEnd w:id="86"/>
      <w:bookmarkEnd w:id="8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bookmarkStart w:id="88" w:name="bookmark88"/>
      <w:bookmarkStart w:id="89" w:name="bookmark89"/>
      <w:bookmarkStart w:id="90" w:name="bookmark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88"/>
      <w:bookmarkEnd w:id="89"/>
      <w:bookmarkEnd w:id="9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91" w:name="bookmark91"/>
      <w:bookmarkStart w:id="92" w:name="bookmark92"/>
      <w:bookmarkStart w:id="93" w:name="bookmark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  <w:bookmarkEnd w:id="91"/>
      <w:bookmarkEnd w:id="92"/>
      <w:bookmarkEnd w:id="9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94" w:name="bookmark94"/>
      <w:bookmarkStart w:id="95" w:name="bookmark95"/>
      <w:bookmarkStart w:id="96" w:name="bookmark9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  <w:bookmarkEnd w:id="94"/>
      <w:bookmarkEnd w:id="95"/>
      <w:bookmarkEnd w:id="96"/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4" w:name="bookmark94"/>
      <w:bookmarkStart w:id="95" w:name="bookmark95"/>
      <w:bookmarkStart w:id="97" w:name="bookmark97"/>
      <w:bookmarkEnd w:id="9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předmětu díla</w:t>
      </w:r>
      <w:bookmarkEnd w:id="94"/>
      <w:bookmarkEnd w:id="9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1.11.2024,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100" w:name="bookmark100"/>
      <w:bookmarkStart w:id="101" w:name="bookmark101"/>
      <w:bookmarkStart w:id="102" w:name="bookmark102"/>
      <w:bookmarkStart w:id="99" w:name="bookmark99"/>
      <w:bookmarkEnd w:id="10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  <w:bookmarkEnd w:id="100"/>
      <w:bookmarkEnd w:id="102"/>
      <w:bookmarkEnd w:id="9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03" w:name="bookmark103"/>
      <w:bookmarkStart w:id="104" w:name="bookmark104"/>
      <w:bookmarkStart w:id="105" w:name="bookmark1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Dále provedení odpočtu neprovedených prací a upřesnění výměr u položek v soupisu prací. Tyto změny jsou obsahem Přílohy č. 1 Oceněného soupisu prací změn závazku ze dne</w:t>
      </w:r>
      <w:bookmarkEnd w:id="103"/>
      <w:bookmarkEnd w:id="104"/>
      <w:bookmarkEnd w:id="105"/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62" w:val="left"/>
        </w:tabs>
        <w:bidi w:val="0"/>
        <w:spacing w:before="0" w:line="240" w:lineRule="auto"/>
        <w:ind w:left="0" w:right="0" w:firstLine="0"/>
        <w:jc w:val="both"/>
      </w:pPr>
      <w:bookmarkStart w:id="106" w:name="bookmark106"/>
      <w:bookmarkStart w:id="107" w:name="bookmark107"/>
      <w:bookmarkEnd w:id="1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změna závazku ze smlouvy v souvislosti se zadáním dalších prací nemění celkovou povahu veřejné zakázky.</w:t>
      </w:r>
      <w:bookmarkEnd w:id="10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mimořádných kontrolních dnech stavby. Obě smluvní strany odsouhlasily a potvrdily oceněný soupis prací.</w:t>
      </w:r>
      <w:bookmarkEnd w:id="108"/>
      <w:bookmarkEnd w:id="109"/>
      <w:bookmarkEnd w:id="11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11" w:name="bookmark111"/>
      <w:bookmarkStart w:id="112" w:name="bookmark112"/>
      <w:bookmarkStart w:id="113" w:name="bookmark11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  <w:bookmarkEnd w:id="111"/>
      <w:bookmarkEnd w:id="112"/>
      <w:bookmarkEnd w:id="113"/>
    </w:p>
    <w:p>
      <w:pPr>
        <w:pStyle w:val="Style2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14" w:name="bookmark114"/>
      <w:bookmarkStart w:id="115" w:name="bookmark115"/>
      <w:bookmarkStart w:id="116" w:name="bookmark116"/>
      <w:bookmarkStart w:id="117" w:name="bookmark117"/>
      <w:bookmarkEnd w:id="11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I. Účel a předmět smlouvy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předmět díla v rozsahu přílohy tohoto dodatku – Oceněného soupisu prací změn závazku ze dne 21.11.2024, který se tímto stává nedílnou součástí smlouvy,</w:t>
      </w:r>
      <w:bookmarkEnd w:id="114"/>
      <w:bookmarkEnd w:id="115"/>
      <w:bookmarkEnd w:id="117"/>
    </w:p>
    <w:p>
      <w:pPr>
        <w:pStyle w:val="Style2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118" w:name="bookmark118"/>
      <w:bookmarkStart w:id="119" w:name="bookmark119"/>
      <w:bookmarkStart w:id="120" w:name="bookmark120"/>
      <w:bookmarkStart w:id="121" w:name="bookmark121"/>
      <w:bookmarkEnd w:id="1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Cenové platební podmínky, bod 1.</w:t>
      </w:r>
      <w:bookmarkEnd w:id="118"/>
      <w:bookmarkEnd w:id="119"/>
      <w:bookmarkEnd w:id="12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22" w:name="bookmark122"/>
      <w:bookmarkStart w:id="123" w:name="bookmark123"/>
      <w:bookmarkStart w:id="124" w:name="bookmark1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díla v rozsahu čl. I., která zahrnuje veškeré práce nezbytné k včasnému provedení díla při splnění všech technických a kvalitativních podmínek, včetně zajištění materiálu a všech souvisejících služeb a dodávek, je stanovena součtem cen za jednotlivé objekty, tzn.:</w:t>
      </w:r>
      <w:bookmarkEnd w:id="122"/>
      <w:bookmarkEnd w:id="123"/>
      <w:bookmarkEnd w:id="124"/>
    </w:p>
    <w:p>
      <w:pPr>
        <w:pStyle w:val="Style2"/>
        <w:keepNext/>
        <w:keepLines/>
        <w:widowControl w:val="0"/>
        <w:shd w:val="clear" w:color="auto" w:fill="auto"/>
        <w:tabs>
          <w:tab w:pos="1320" w:val="left"/>
        </w:tabs>
        <w:bidi w:val="0"/>
        <w:spacing w:before="0" w:after="0" w:line="240" w:lineRule="auto"/>
        <w:ind w:left="0" w:right="0" w:firstLine="0"/>
        <w:jc w:val="both"/>
      </w:pPr>
      <w:bookmarkStart w:id="125" w:name="bookmark125"/>
      <w:bookmarkStart w:id="126" w:name="bookmark126"/>
      <w:bookmarkStart w:id="127" w:name="bookmark1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</w:t>
        <w:tab/>
        <w:t>Sanace propustí u vyústění</w:t>
      </w:r>
      <w:bookmarkEnd w:id="125"/>
      <w:bookmarkEnd w:id="126"/>
      <w:bookmarkEnd w:id="127"/>
    </w:p>
    <w:p>
      <w:pPr>
        <w:pStyle w:val="Style2"/>
        <w:keepNext/>
        <w:keepLines/>
        <w:widowControl w:val="0"/>
        <w:shd w:val="clear" w:color="auto" w:fill="auto"/>
        <w:tabs>
          <w:tab w:pos="1320" w:val="left"/>
        </w:tabs>
        <w:bidi w:val="0"/>
        <w:spacing w:before="0" w:after="0" w:line="240" w:lineRule="auto"/>
        <w:ind w:left="0" w:right="0" w:firstLine="0"/>
        <w:jc w:val="both"/>
      </w:pPr>
      <w:bookmarkStart w:id="128" w:name="bookmark128"/>
      <w:bookmarkStart w:id="129" w:name="bookmark129"/>
      <w:bookmarkStart w:id="130" w:name="bookmark1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</w:t>
        <w:tab/>
        <w:t>Výměna propustí</w:t>
      </w:r>
      <w:bookmarkEnd w:id="128"/>
      <w:bookmarkEnd w:id="129"/>
      <w:bookmarkEnd w:id="130"/>
    </w:p>
    <w:p>
      <w:pPr>
        <w:pStyle w:val="Style2"/>
        <w:keepNext/>
        <w:keepLines/>
        <w:widowControl w:val="0"/>
        <w:shd w:val="clear" w:color="auto" w:fill="auto"/>
        <w:tabs>
          <w:tab w:pos="1320" w:val="left"/>
        </w:tabs>
        <w:bidi w:val="0"/>
        <w:spacing w:before="0" w:after="0" w:line="240" w:lineRule="auto"/>
        <w:ind w:left="0" w:right="0" w:firstLine="0"/>
        <w:jc w:val="both"/>
      </w:pPr>
      <w:bookmarkStart w:id="131" w:name="bookmark131"/>
      <w:bookmarkStart w:id="132" w:name="bookmark132"/>
      <w:bookmarkStart w:id="133" w:name="bookmark1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</w:t>
        <w:tab/>
        <w:t>Sanace propustí u nádrže</w:t>
      </w:r>
      <w:bookmarkEnd w:id="131"/>
      <w:bookmarkEnd w:id="132"/>
      <w:bookmarkEnd w:id="133"/>
    </w:p>
    <w:p>
      <w:pPr>
        <w:pStyle w:val="Style2"/>
        <w:keepNext/>
        <w:keepLines/>
        <w:widowControl w:val="0"/>
        <w:shd w:val="clear" w:color="auto" w:fill="auto"/>
        <w:tabs>
          <w:tab w:pos="1320" w:val="left"/>
        </w:tabs>
        <w:bidi w:val="0"/>
        <w:spacing w:before="0" w:after="0" w:line="240" w:lineRule="auto"/>
        <w:ind w:left="0" w:right="0" w:firstLine="0"/>
        <w:jc w:val="both"/>
      </w:pPr>
      <w:bookmarkStart w:id="134" w:name="bookmark134"/>
      <w:bookmarkStart w:id="135" w:name="bookmark135"/>
      <w:bookmarkStart w:id="136" w:name="bookmark1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</w:t>
        <w:tab/>
        <w:t>Zakrytí otevřeného úseku</w:t>
      </w:r>
      <w:bookmarkEnd w:id="134"/>
      <w:bookmarkEnd w:id="135"/>
      <w:bookmarkEnd w:id="136"/>
    </w:p>
    <w:p>
      <w:pPr>
        <w:pStyle w:val="Style2"/>
        <w:keepNext/>
        <w:keepLines/>
        <w:widowControl w:val="0"/>
        <w:shd w:val="clear" w:color="auto" w:fill="auto"/>
        <w:tabs>
          <w:tab w:pos="1320" w:val="left"/>
        </w:tabs>
        <w:bidi w:val="0"/>
        <w:spacing w:before="0" w:after="0" w:line="240" w:lineRule="auto"/>
        <w:ind w:left="0" w:right="0" w:firstLine="0"/>
        <w:jc w:val="both"/>
      </w:pPr>
      <w:bookmarkStart w:id="137" w:name="bookmark137"/>
      <w:bookmarkStart w:id="138" w:name="bookmark138"/>
      <w:bookmarkStart w:id="139" w:name="bookmark1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</w:t>
        <w:tab/>
        <w:t>Přeložky IS - vodovod</w:t>
      </w:r>
      <w:bookmarkEnd w:id="137"/>
      <w:bookmarkEnd w:id="138"/>
      <w:bookmarkEnd w:id="139"/>
    </w:p>
    <w:p>
      <w:pPr>
        <w:pStyle w:val="Style2"/>
        <w:keepNext/>
        <w:keepLines/>
        <w:widowControl w:val="0"/>
        <w:shd w:val="clear" w:color="auto" w:fill="auto"/>
        <w:tabs>
          <w:tab w:pos="1320" w:val="left"/>
        </w:tabs>
        <w:bidi w:val="0"/>
        <w:spacing w:before="0" w:after="200" w:line="240" w:lineRule="auto"/>
        <w:ind w:left="0" w:right="0" w:firstLine="0"/>
        <w:jc w:val="both"/>
      </w:pPr>
      <w:bookmarkStart w:id="140" w:name="bookmark140"/>
      <w:bookmarkStart w:id="141" w:name="bookmark141"/>
      <w:bookmarkStart w:id="142" w:name="bookmark1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</w:t>
        <w:tab/>
        <w:t>Vedlejší a ostatní náklady</w:t>
      </w:r>
      <w:bookmarkEnd w:id="140"/>
      <w:bookmarkEnd w:id="141"/>
      <w:bookmarkEnd w:id="14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43" w:name="bookmark143"/>
      <w:bookmarkStart w:id="144" w:name="bookmark144"/>
      <w:bookmarkStart w:id="145" w:name="bookmark1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 za celý předmět díla:</w:t>
      </w:r>
      <w:bookmarkEnd w:id="143"/>
      <w:bookmarkEnd w:id="144"/>
      <w:bookmarkEnd w:id="145"/>
    </w:p>
    <w:p>
      <w:pPr>
        <w:pStyle w:val="Style2"/>
        <w:keepNext/>
        <w:keepLines/>
        <w:widowControl w:val="0"/>
        <w:shd w:val="clear" w:color="auto" w:fill="auto"/>
        <w:tabs>
          <w:tab w:pos="2827" w:val="left"/>
        </w:tabs>
        <w:bidi w:val="0"/>
        <w:spacing w:before="0" w:after="0" w:line="240" w:lineRule="auto"/>
        <w:ind w:left="0" w:right="0" w:firstLine="0"/>
        <w:jc w:val="both"/>
      </w:pPr>
      <w:bookmarkStart w:id="146" w:name="bookmark146"/>
      <w:bookmarkStart w:id="147" w:name="bookmark147"/>
      <w:bookmarkStart w:id="148" w:name="bookmark14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14.903.670,68 Kč bez DPH</w:t>
      </w:r>
      <w:bookmarkEnd w:id="146"/>
      <w:bookmarkEnd w:id="147"/>
      <w:bookmarkEnd w:id="14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49" w:name="bookmark149"/>
      <w:bookmarkStart w:id="150" w:name="bookmark150"/>
      <w:bookmarkStart w:id="151" w:name="bookmark1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čtrnáct milionů devět set tři tisíc šest set sedmdesát korun českých šedesát osm haléřů)</w:t>
      </w:r>
      <w:bookmarkEnd w:id="149"/>
      <w:bookmarkEnd w:id="150"/>
      <w:bookmarkEnd w:id="151"/>
    </w:p>
    <w:p>
      <w:pPr>
        <w:pStyle w:val="Style2"/>
        <w:keepNext/>
        <w:keepLines/>
        <w:widowControl w:val="0"/>
        <w:shd w:val="clear" w:color="auto" w:fill="auto"/>
        <w:tabs>
          <w:tab w:pos="2827" w:val="left"/>
        </w:tabs>
        <w:bidi w:val="0"/>
        <w:spacing w:before="0" w:after="0" w:line="240" w:lineRule="auto"/>
        <w:ind w:left="0" w:right="0" w:firstLine="0"/>
        <w:jc w:val="both"/>
      </w:pPr>
      <w:bookmarkStart w:id="152" w:name="bookmark152"/>
      <w:bookmarkStart w:id="153" w:name="bookmark153"/>
      <w:bookmarkStart w:id="154" w:name="bookmark15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14.329.771,45 Kč bez DPH</w:t>
      </w:r>
      <w:bookmarkEnd w:id="152"/>
      <w:bookmarkEnd w:id="153"/>
      <w:bookmarkEnd w:id="15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55" w:name="bookmark155"/>
      <w:bookmarkStart w:id="156" w:name="bookmark156"/>
      <w:bookmarkStart w:id="157" w:name="bookmark1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čtrnáct milionů tři sta dvacet devět tisíc sedm set sedmdesát jedna korun českých čtyřicet pět haléřů)</w:t>
      </w:r>
      <w:bookmarkEnd w:id="155"/>
      <w:bookmarkEnd w:id="156"/>
      <w:bookmarkEnd w:id="15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58" w:name="bookmark158"/>
      <w:bookmarkStart w:id="159" w:name="bookmark159"/>
      <w:bookmarkStart w:id="160" w:name="bookmark160"/>
      <w:bookmarkStart w:id="161" w:name="bookmark1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  <w:bookmarkEnd w:id="158"/>
      <w:bookmarkEnd w:id="159"/>
      <w:bookmarkEnd w:id="160"/>
      <w:bookmarkEnd w:id="16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62" w:name="bookmark1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Tento dodatek ke smlouvě nabývá platnosti dnem jeho podpisu poslední ze smluvních stran</w:t>
      </w:r>
      <w:bookmarkEnd w:id="1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účinnosti zveřejněním v Registru smluv, pokud této účinnosti dle příslušných ustanovení dodatku ke smlouvě nenabude později.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63" w:name="bookmark163"/>
      <w:bookmarkStart w:id="164" w:name="bookmark164"/>
      <w:bookmarkStart w:id="165" w:name="bookmark1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163"/>
      <w:bookmarkEnd w:id="164"/>
      <w:bookmarkEnd w:id="16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657" w:left="1392" w:right="1386" w:bottom="1455" w:header="229" w:footer="3" w:gutter="0"/>
          <w:pgNumType w:start="1"/>
          <w:cols w:space="720"/>
          <w:noEndnote/>
          <w:rtlGutter w:val="0"/>
          <w:docGrid w:linePitch="360"/>
        </w:sectPr>
      </w:pPr>
      <w:bookmarkStart w:id="166" w:name="bookmark166"/>
      <w:bookmarkStart w:id="167" w:name="bookmark1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 Příloha č. 1: Oceněný soupis prací změn závazku ze dne 21.11.2024.</w:t>
      </w:r>
      <w:bookmarkEnd w:id="166"/>
      <w:bookmarkEnd w:id="167"/>
    </w:p>
    <w:p>
      <w:pPr>
        <w:widowControl w:val="0"/>
        <w:spacing w:before="71" w:after="7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0" w:right="0" w:bottom="937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1394" w:right="2580" w:bottom="9371" w:header="0" w:footer="3" w:gutter="0"/>
          <w:cols w:num="2" w:space="155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7" w:after="10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0" w:right="0" w:bottom="12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1688465" cy="3873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68" w:name="bookmark16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</w:t>
                            </w:r>
                            <w:bookmarkEnd w:id="168"/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69" w:name="bookmark16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  <w:bookmarkEnd w:id="169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5pt;margin-top:1.pt;width:132.94999999999999pt;height:30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68" w:name="bookmark16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</w:t>
                      </w:r>
                      <w:bookmarkEnd w:id="168"/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69" w:name="bookmark16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  <w:bookmarkEnd w:id="169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57" w:left="4053" w:right="1389" w:bottom="128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5765800</wp:posOffset>
              </wp:positionH>
              <wp:positionV relativeFrom="page">
                <wp:posOffset>9875520</wp:posOffset>
              </wp:positionV>
              <wp:extent cx="899160" cy="2165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916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4.pt;margin-top:777.60000000000002pt;width:70.799999999999997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024"/>
      <w:numFmt w:val="decimal"/>
      <w:lvlText w:val="21.11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