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50E5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bookmarkStart w:id="0" w:name="_GoBack"/>
      <w:bookmarkEnd w:id="0"/>
    </w:p>
    <w:p w14:paraId="3F2B319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DODATEK č. </w:t>
      </w:r>
      <w:r>
        <w:rPr>
          <w:b/>
        </w:rPr>
        <w:t>2</w:t>
      </w:r>
      <w:r>
        <w:rPr>
          <w:b/>
          <w:color w:val="000000"/>
        </w:rPr>
        <w:t xml:space="preserve"> </w:t>
      </w:r>
    </w:p>
    <w:p w14:paraId="771A43DF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>ke Smlouvě o dílo</w:t>
      </w:r>
    </w:p>
    <w:p w14:paraId="45AAAFEE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 xml:space="preserve"> číslo objednatele: 37/391/2024, č.j. NPU-391/68747/2024, číslo zhotovitele: 5068</w:t>
      </w:r>
    </w:p>
    <w:p w14:paraId="402C2948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color w:val="FF0000"/>
        </w:rPr>
      </w:pPr>
      <w:r>
        <w:rPr>
          <w:b/>
          <w:color w:val="000000"/>
        </w:rPr>
        <w:t>(dále „Dodatek“)</w:t>
      </w:r>
    </w:p>
    <w:p w14:paraId="7938979A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</w:p>
    <w:p w14:paraId="0B1CF718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>Národní památkový ústav</w:t>
      </w:r>
      <w:r w:rsidRPr="001508F8">
        <w:rPr>
          <w:color w:val="000000"/>
        </w:rPr>
        <w:t>, státní příspěvková organizace</w:t>
      </w:r>
    </w:p>
    <w:p w14:paraId="714008D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IČO: 75032333, DIČ: CZ75032333</w:t>
      </w:r>
    </w:p>
    <w:p w14:paraId="40A017FE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se sídlem Valdštejnské náměstí 162/3, 118 01 Praha 1 - Malá Strana</w:t>
      </w:r>
    </w:p>
    <w:p w14:paraId="58C536BA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zastoupen: Mgr. František Chupík, Ph.D., ředitelem územního odborného pracoviště v Olomouci</w:t>
      </w:r>
    </w:p>
    <w:p w14:paraId="20D1540A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Česká národní banka, č. 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>: 910004-60039011/0710</w:t>
      </w:r>
    </w:p>
    <w:p w14:paraId="1991CEA4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i/>
          <w:color w:val="000000"/>
        </w:rPr>
        <w:t>zástupce pro věcná jednání: Mgr. František Chupík, Ph.D., 724 096 184, chupik.frantisek@npu.cz (dále jen „Zástupce objednatele“)</w:t>
      </w:r>
    </w:p>
    <w:p w14:paraId="09B1163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u w:val="single"/>
        </w:rPr>
      </w:pPr>
      <w:r>
        <w:rPr>
          <w:color w:val="000000"/>
          <w:u w:val="single"/>
        </w:rPr>
        <w:t>Doručovací adresa:</w:t>
      </w:r>
    </w:p>
    <w:p w14:paraId="69AEDF8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Národní památkový ústav, územní odborné pracoviště v Olomouci</w:t>
      </w:r>
    </w:p>
    <w:p w14:paraId="74C20ED0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lightGray"/>
        </w:rPr>
      </w:pPr>
      <w:r>
        <w:rPr>
          <w:color w:val="000000"/>
        </w:rPr>
        <w:t>adresa: Horní náměstí 25, 779 00 Olomouc</w:t>
      </w:r>
    </w:p>
    <w:p w14:paraId="53BF3A6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„Objednatel“)</w:t>
      </w:r>
    </w:p>
    <w:p w14:paraId="6A311A9F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78D73A59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a</w:t>
      </w:r>
    </w:p>
    <w:p w14:paraId="73E65A72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40" w:line="240" w:lineRule="atLeast"/>
        <w:ind w:left="703" w:hanging="567"/>
        <w:rPr>
          <w:color w:val="000000"/>
        </w:rPr>
      </w:pPr>
    </w:p>
    <w:p w14:paraId="6728B9D4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 xml:space="preserve">společnost KAMI - BBP </w:t>
      </w:r>
      <w:proofErr w:type="spellStart"/>
      <w:r>
        <w:rPr>
          <w:b/>
          <w:color w:val="000000"/>
        </w:rPr>
        <w:t>group</w:t>
      </w:r>
      <w:proofErr w:type="spellEnd"/>
    </w:p>
    <w:p w14:paraId="206DE1F2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Spojů 835/2, Ostrava-Poruba, 708 00</w:t>
      </w:r>
    </w:p>
    <w:p w14:paraId="3281B1EB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34935645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vedoucí společník: KAMI PROFIT, s.r.o.</w:t>
      </w:r>
    </w:p>
    <w:p w14:paraId="13615D00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starom</w:t>
      </w:r>
      <w:proofErr w:type="spellEnd"/>
      <w:r>
        <w:rPr>
          <w:color w:val="000000"/>
        </w:rPr>
        <w:t xml:space="preserve"> letisku 9219/17, Bratislava, Slovenská republika, IČ: 35943301</w:t>
      </w:r>
    </w:p>
    <w:p w14:paraId="19398AD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jednající prostřednictvím KAMI PROFIT, s.r.o., odštěpný závod</w:t>
      </w:r>
    </w:p>
    <w:p w14:paraId="4F910D29" w14:textId="77777777" w:rsidR="00F50E1A" w:rsidRDefault="009B7022" w:rsidP="00E578B8">
      <w:pPr>
        <w:spacing w:after="40" w:line="240" w:lineRule="atLeast"/>
      </w:pPr>
      <w:r>
        <w:t>Spojů 835/2, Ostrava-Poruba, 708 00, IČ: 05264758</w:t>
      </w:r>
    </w:p>
    <w:p w14:paraId="0AB2C5A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IDDS: f2dy85f</w:t>
      </w:r>
    </w:p>
    <w:p w14:paraId="075620EB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0E398B2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společník 1: BBP Stavby s.r.o.</w:t>
      </w:r>
    </w:p>
    <w:p w14:paraId="509BF7F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Korunovační 103/6, Bubeneč, 17000 Praha 7, IČ: 03875199</w:t>
      </w:r>
    </w:p>
    <w:p w14:paraId="0A856DD2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3BD2BAA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1E4F565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  <w:r>
        <w:rPr>
          <w:i/>
          <w:color w:val="000000"/>
        </w:rPr>
        <w:t>na základě Smlouvy o společnosti a dodatku č.1 podle § 2716 a násl. občanského zákoníku</w:t>
      </w:r>
    </w:p>
    <w:p w14:paraId="64AFE78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</w:p>
    <w:p w14:paraId="4B51E80E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Zastoupena: Ing. Daniel Rimel (osoba oprávněná jednat za Zhotovitele)</w:t>
      </w:r>
    </w:p>
    <w:p w14:paraId="20403BE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Všeobecná úvěrová banka a.s., pobočka Praha; číslo účtu: 1000004786/6700.</w:t>
      </w:r>
    </w:p>
    <w:p w14:paraId="5B46C61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IBAN: CZ35 6700 0000 0010 0000 4786</w:t>
      </w:r>
    </w:p>
    <w:p w14:paraId="452A2A89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zástupce pro věcná jednání: Ing. Jakub Blaťák, Ph.D. (dále jen „Zástupce zhotovitele“)</w:t>
      </w:r>
    </w:p>
    <w:p w14:paraId="7DAE9CD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„Zhotovitel“)</w:t>
      </w:r>
    </w:p>
    <w:p w14:paraId="2EC4B4FC" w14:textId="6D0042E6" w:rsidR="00E578B8" w:rsidRDefault="00E578B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E1353C9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</w:p>
    <w:p w14:paraId="4B5FF433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  <w:color w:val="000000"/>
        </w:rPr>
        <w:tab/>
        <w:t>Preambule</w:t>
      </w:r>
    </w:p>
    <w:p w14:paraId="0CAFEDDA" w14:textId="77777777" w:rsidR="00F50E1A" w:rsidRDefault="009B7022" w:rsidP="00E5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b/>
          <w:color w:val="000000"/>
        </w:rPr>
      </w:pPr>
      <w:r>
        <w:rPr>
          <w:color w:val="000000"/>
        </w:rPr>
        <w:t>Smluvní strany uzavřely na základě výsledku veřejné zakázky pod názvem: NPÚ, ÚOP v Olomouci – výstavba depozitního skladu a technického zázemí s fotovoltaickou elektrárnou, ev. č. NEN: N006/24/V00004986 (dále jen „</w:t>
      </w:r>
      <w:r>
        <w:rPr>
          <w:i/>
          <w:color w:val="000000"/>
        </w:rPr>
        <w:t>Veřejná zakázka</w:t>
      </w:r>
      <w:r>
        <w:rPr>
          <w:color w:val="000000"/>
        </w:rPr>
        <w:t>“) smlouvu o dílo dne 29. 7. 2024, ev. č. smlouvy 37/391/2024 (dále jen „</w:t>
      </w:r>
      <w:r>
        <w:rPr>
          <w:i/>
          <w:color w:val="000000"/>
        </w:rPr>
        <w:t>Smlouva</w:t>
      </w:r>
      <w:r>
        <w:rPr>
          <w:color w:val="000000"/>
        </w:rPr>
        <w:t>“), jejímž předmětem je zhotovení díla „</w:t>
      </w:r>
      <w:r>
        <w:rPr>
          <w:b/>
          <w:color w:val="000000"/>
        </w:rPr>
        <w:t>NPÚ, ÚOP v Olomouci – výstavba depozitního skladu a technického zázemí s fotovoltaickou elektrárnou</w:t>
      </w:r>
      <w:r>
        <w:rPr>
          <w:color w:val="000000"/>
        </w:rPr>
        <w:t>“.</w:t>
      </w:r>
    </w:p>
    <w:p w14:paraId="544476D9" w14:textId="550D64B9" w:rsidR="00F50E1A" w:rsidRDefault="009B7022" w:rsidP="00E5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Objednatel konstatuje, že</w:t>
      </w:r>
      <w:r w:rsidR="0062029C">
        <w:rPr>
          <w:color w:val="000000"/>
        </w:rPr>
        <w:t xml:space="preserve"> z důvodu možnosti realizace stavby za nižších teplot a dosažení vyšších kvalit povrchu se mění technologie provedení schodiště z monolitického schodiště na prefabrikované z dílců při zachování parametrů (tvar </w:t>
      </w:r>
      <w:r w:rsidR="0073723E">
        <w:rPr>
          <w:color w:val="000000"/>
        </w:rPr>
        <w:t xml:space="preserve">stupňů </w:t>
      </w:r>
      <w:r w:rsidR="0062029C">
        <w:rPr>
          <w:color w:val="000000"/>
        </w:rPr>
        <w:t xml:space="preserve">aj.) stanovených projektem. </w:t>
      </w:r>
      <w:r>
        <w:rPr>
          <w:color w:val="000000"/>
        </w:rPr>
        <w:t>Jedná se o změnu, kterou není možné dodatečně technicky oddělit od plnění dle Smlouvy</w:t>
      </w:r>
      <w:r w:rsidR="0062029C">
        <w:rPr>
          <w:color w:val="000000"/>
        </w:rPr>
        <w:t>. V rozpočtu jde o méněpráce</w:t>
      </w:r>
      <w:r w:rsidR="00BF1B05">
        <w:rPr>
          <w:color w:val="000000"/>
        </w:rPr>
        <w:t xml:space="preserve"> i vícepráce</w:t>
      </w:r>
      <w:r w:rsidR="0062029C">
        <w:rPr>
          <w:color w:val="000000"/>
        </w:rPr>
        <w:t xml:space="preserve">, které </w:t>
      </w:r>
      <w:r>
        <w:rPr>
          <w:color w:val="000000"/>
        </w:rPr>
        <w:t>jsou blíže popsané ve změnovém listu č.</w:t>
      </w:r>
      <w:r w:rsidR="0062029C">
        <w:rPr>
          <w:color w:val="000000"/>
        </w:rPr>
        <w:t xml:space="preserve"> 2 a</w:t>
      </w:r>
      <w:r>
        <w:rPr>
          <w:color w:val="000000"/>
        </w:rPr>
        <w:t xml:space="preserve"> přímo souvisí s pracemi původní Veřejné zakázky, jsou spolu provázané, jejich neprovedení by zmařilo účel této investice.</w:t>
      </w:r>
    </w:p>
    <w:p w14:paraId="61903494" w14:textId="0A939625" w:rsidR="0062029C" w:rsidRDefault="0062029C" w:rsidP="00E5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Objednatel konstatuje, že po demolici stávající stavby a po </w:t>
      </w:r>
      <w:r w:rsidRPr="0062029C">
        <w:rPr>
          <w:color w:val="000000"/>
        </w:rPr>
        <w:t xml:space="preserve">zahájení výkopů </w:t>
      </w:r>
      <w:r>
        <w:rPr>
          <w:color w:val="000000"/>
        </w:rPr>
        <w:t xml:space="preserve">bylo zjištěno, že podloží  neodpovídá </w:t>
      </w:r>
      <w:r w:rsidRPr="0062029C">
        <w:rPr>
          <w:color w:val="000000"/>
        </w:rPr>
        <w:t>svou únosností původnímu předp</w:t>
      </w:r>
      <w:r>
        <w:rPr>
          <w:color w:val="000000"/>
        </w:rPr>
        <w:t>o</w:t>
      </w:r>
      <w:r w:rsidRPr="0062029C">
        <w:rPr>
          <w:color w:val="000000"/>
        </w:rPr>
        <w:t xml:space="preserve">kladu statika. </w:t>
      </w:r>
      <w:r>
        <w:rPr>
          <w:color w:val="000000"/>
        </w:rPr>
        <w:t xml:space="preserve">Bylo proveden nový inženýrsko-geologický průzkum a projekční změna základů.  </w:t>
      </w:r>
      <w:r w:rsidRPr="0062029C">
        <w:rPr>
          <w:color w:val="000000"/>
        </w:rPr>
        <w:t>Z důvodu nedostatečně únosné zeminy bylo nutné nahradit plošné založení hlubinným.</w:t>
      </w:r>
      <w:r>
        <w:rPr>
          <w:color w:val="000000"/>
        </w:rPr>
        <w:t xml:space="preserve"> Jedná se o změnu, kterou není možné dodatečně technicky oddělit od plnění dle Smlouvy, protože </w:t>
      </w:r>
      <w:r w:rsidR="004B5B94">
        <w:rPr>
          <w:color w:val="000000"/>
        </w:rPr>
        <w:t xml:space="preserve">méněpráce a </w:t>
      </w:r>
      <w:r>
        <w:rPr>
          <w:color w:val="000000"/>
        </w:rPr>
        <w:t>vícepráce, které jsou předmětem tohoto Dodatku, a jsou blíže popsané ve změnovém listu č. 3, přímo souvisí s pracemi původní Veřejné zakázky, jsou spolu provázané, jejich neprovedení by zmařilo účel této investice. Samostatné zadání by bylo z hlediska organizace stavby i finančních nákladů nelogické a neefektivní a z </w:t>
      </w:r>
      <w:proofErr w:type="spellStart"/>
      <w:r>
        <w:rPr>
          <w:color w:val="000000"/>
        </w:rPr>
        <w:t>technicko-organizačních</w:t>
      </w:r>
      <w:proofErr w:type="spellEnd"/>
      <w:r>
        <w:rPr>
          <w:color w:val="000000"/>
        </w:rPr>
        <w:t xml:space="preserve"> důvodů nemožné. Vícepráce nelze oddělit a samostatně zadat. Bez vyřešení změny způsobu založení stavby není možné pokračovat v demolici stávajícího objektu a výstavbě nového depozitního skladu. Tyto skutečnosti jsou popsány ve změnovém listu č. 3, který je přílohou tohoto Dodatku.</w:t>
      </w:r>
    </w:p>
    <w:p w14:paraId="743DF21F" w14:textId="7DDDED90" w:rsidR="0062029C" w:rsidRDefault="0062029C" w:rsidP="00E5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Objednatel konstatuje, že z důvodu změny podmínek na trhu stavebních materiálů se mění technologie zdění novostavby z nebroušených na broušené cihly. Nebroušené cihly (obsažené v projektové dokumentaci) </w:t>
      </w:r>
      <w:proofErr w:type="spellStart"/>
      <w:r>
        <w:rPr>
          <w:color w:val="000000"/>
        </w:rPr>
        <w:t>tl</w:t>
      </w:r>
      <w:proofErr w:type="spellEnd"/>
      <w:r>
        <w:rPr>
          <w:color w:val="000000"/>
        </w:rPr>
        <w:t>. 38 cm se již nevyrábí</w:t>
      </w:r>
      <w:r w:rsidR="00176706">
        <w:rPr>
          <w:color w:val="000000"/>
        </w:rPr>
        <w:t>, proto se nahrazují cihlami broušenými spojovanými pěnou</w:t>
      </w:r>
      <w:r w:rsidRPr="0062029C">
        <w:rPr>
          <w:color w:val="000000"/>
        </w:rPr>
        <w:t>.</w:t>
      </w:r>
      <w:r>
        <w:rPr>
          <w:color w:val="000000"/>
        </w:rPr>
        <w:t xml:space="preserve"> </w:t>
      </w:r>
      <w:r w:rsidR="00176706">
        <w:rPr>
          <w:color w:val="000000"/>
        </w:rPr>
        <w:t xml:space="preserve">Zdivo broušené s lepením na pěnu má vyšší standard, přesnost a umožňuje realizaci v zimních měsících. </w:t>
      </w:r>
      <w:r>
        <w:rPr>
          <w:color w:val="000000"/>
        </w:rPr>
        <w:t>Jedná se o změnu, kterou není možné dodatečně technicky oddělit od plnění dle Smlouvy</w:t>
      </w:r>
      <w:r w:rsidR="00176706">
        <w:rPr>
          <w:color w:val="000000"/>
        </w:rPr>
        <w:t xml:space="preserve"> a</w:t>
      </w:r>
      <w:r>
        <w:rPr>
          <w:color w:val="000000"/>
        </w:rPr>
        <w:t xml:space="preserve"> jsou blíže popsané ve změnovém listu č. </w:t>
      </w:r>
      <w:r w:rsidR="00176706">
        <w:rPr>
          <w:color w:val="000000"/>
        </w:rPr>
        <w:t>4</w:t>
      </w:r>
      <w:r>
        <w:rPr>
          <w:color w:val="000000"/>
        </w:rPr>
        <w:t xml:space="preserve">, přímo souvisí s pracemi původní Veřejné zakázky, jsou spolu provázané, jejich neprovedení by zmařilo účel této investice. </w:t>
      </w:r>
      <w:r w:rsidR="00176706">
        <w:rPr>
          <w:color w:val="000000"/>
        </w:rPr>
        <w:t>Změna technologie nemá vliv na sjednanou cenu za dílo.</w:t>
      </w:r>
    </w:p>
    <w:p w14:paraId="077E7FBC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color w:val="000000"/>
        </w:rPr>
      </w:pPr>
    </w:p>
    <w:p w14:paraId="1AF6F523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center"/>
        <w:rPr>
          <w:b/>
          <w:color w:val="000000"/>
        </w:rPr>
      </w:pPr>
      <w:r>
        <w:rPr>
          <w:b/>
          <w:color w:val="000000"/>
        </w:rPr>
        <w:t xml:space="preserve">Čl. II </w:t>
      </w:r>
      <w:r>
        <w:rPr>
          <w:b/>
          <w:color w:val="000000"/>
        </w:rPr>
        <w:tab/>
        <w:t>Předmět Dodatku</w:t>
      </w:r>
    </w:p>
    <w:p w14:paraId="687CA03B" w14:textId="0F3F8737" w:rsidR="00F50E1A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 ohledem na výše uvedené skutečnosti se smluvní strany dohodly na změně Smlouvy, konkrétně na provedení </w:t>
      </w:r>
      <w:r w:rsidR="005F0DD3">
        <w:rPr>
          <w:color w:val="000000"/>
        </w:rPr>
        <w:t xml:space="preserve">méněprací a </w:t>
      </w:r>
      <w:r>
        <w:rPr>
          <w:color w:val="000000"/>
        </w:rPr>
        <w:t xml:space="preserve">víceprací, jež jsou blíže popsány ve změnovém listu č. </w:t>
      </w:r>
      <w:r w:rsidR="00176706">
        <w:rPr>
          <w:color w:val="000000"/>
        </w:rPr>
        <w:t>2, 3 a 4</w:t>
      </w:r>
      <w:r>
        <w:rPr>
          <w:color w:val="000000"/>
        </w:rPr>
        <w:t>, kter</w:t>
      </w:r>
      <w:r w:rsidR="00176706">
        <w:rPr>
          <w:color w:val="000000"/>
        </w:rPr>
        <w:t>é</w:t>
      </w:r>
      <w:r>
        <w:rPr>
          <w:color w:val="000000"/>
        </w:rPr>
        <w:t xml:space="preserve"> </w:t>
      </w:r>
      <w:r w:rsidRPr="00CE35FB">
        <w:rPr>
          <w:color w:val="000000"/>
        </w:rPr>
        <w:t>j</w:t>
      </w:r>
      <w:r w:rsidR="001B46C4" w:rsidRPr="00CE35FB">
        <w:rPr>
          <w:color w:val="000000"/>
        </w:rPr>
        <w:t>sou</w:t>
      </w:r>
      <w:r>
        <w:rPr>
          <w:color w:val="000000"/>
        </w:rPr>
        <w:t xml:space="preserve"> příloh</w:t>
      </w:r>
      <w:r w:rsidR="00176706">
        <w:rPr>
          <w:color w:val="000000"/>
        </w:rPr>
        <w:t xml:space="preserve">ami </w:t>
      </w:r>
      <w:r>
        <w:rPr>
          <w:color w:val="000000"/>
        </w:rPr>
        <w:t>tohoto Dodatku.</w:t>
      </w:r>
    </w:p>
    <w:p w14:paraId="101BF491" w14:textId="77777777" w:rsidR="00F50E1A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Smluvní strany se tímto dohodly na změně čl. 1.1. Smlouvy takto: </w:t>
      </w:r>
    </w:p>
    <w:p w14:paraId="69F35D56" w14:textId="5D6FF52F" w:rsidR="00F50E1A" w:rsidRDefault="009B7022" w:rsidP="00E578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i/>
          <w:color w:val="000000"/>
        </w:rPr>
      </w:pPr>
      <w:r>
        <w:rPr>
          <w:i/>
          <w:color w:val="000000"/>
        </w:rPr>
        <w:t>Zhotovitel je povinen pro Objednatele provést na svůj náklad a nebezpečí dílo s názvem „</w:t>
      </w:r>
      <w:r>
        <w:rPr>
          <w:b/>
          <w:i/>
          <w:color w:val="000000"/>
        </w:rPr>
        <w:t>NPÚ, ÚO</w:t>
      </w:r>
      <w:r w:rsidRPr="00176706">
        <w:rPr>
          <w:b/>
          <w:i/>
          <w:color w:val="000000" w:themeColor="text1"/>
        </w:rPr>
        <w:t>P v</w:t>
      </w:r>
      <w:r w:rsidR="008C646C">
        <w:rPr>
          <w:b/>
          <w:i/>
          <w:color w:val="000000" w:themeColor="text1"/>
        </w:rPr>
        <w:t> </w:t>
      </w:r>
      <w:r w:rsidRPr="00176706">
        <w:rPr>
          <w:b/>
          <w:i/>
          <w:color w:val="000000" w:themeColor="text1"/>
        </w:rPr>
        <w:t>Olomouci – výstavba depozitního skladu a technického zázemí s fotovoltaickou elektrárnou</w:t>
      </w:r>
      <w:r w:rsidRPr="00176706">
        <w:rPr>
          <w:i/>
          <w:color w:val="000000" w:themeColor="text1"/>
        </w:rPr>
        <w:t xml:space="preserve">“ specifikované podrobněji v dalších částech této Smlouvy, zejména </w:t>
      </w:r>
      <w:r w:rsidRPr="00176706">
        <w:rPr>
          <w:b/>
          <w:i/>
          <w:color w:val="000000" w:themeColor="text1"/>
        </w:rPr>
        <w:t>v Příloze č. 1: Rozpočet, a</w:t>
      </w:r>
      <w:r w:rsidR="008C646C">
        <w:rPr>
          <w:b/>
          <w:i/>
          <w:color w:val="000000" w:themeColor="text1"/>
        </w:rPr>
        <w:t> </w:t>
      </w:r>
      <w:r w:rsidRPr="00176706">
        <w:rPr>
          <w:b/>
          <w:i/>
          <w:color w:val="000000" w:themeColor="text1"/>
        </w:rPr>
        <w:t>ve změnovém listu č. 1 dle Dodatku č. 1</w:t>
      </w:r>
      <w:r w:rsidR="00176706" w:rsidRPr="00176706">
        <w:rPr>
          <w:b/>
          <w:i/>
          <w:color w:val="000000" w:themeColor="text1"/>
        </w:rPr>
        <w:t xml:space="preserve"> a </w:t>
      </w:r>
      <w:r w:rsidR="003E5264" w:rsidRPr="00176706">
        <w:rPr>
          <w:b/>
          <w:i/>
          <w:color w:val="000000" w:themeColor="text1"/>
        </w:rPr>
        <w:t xml:space="preserve">ve změnovém listu č. </w:t>
      </w:r>
      <w:r w:rsidR="003E5264">
        <w:rPr>
          <w:b/>
          <w:i/>
          <w:color w:val="000000" w:themeColor="text1"/>
        </w:rPr>
        <w:t>2, 3 a 4</w:t>
      </w:r>
      <w:r w:rsidR="003E5264" w:rsidRPr="00176706">
        <w:rPr>
          <w:b/>
          <w:i/>
          <w:color w:val="000000" w:themeColor="text1"/>
        </w:rPr>
        <w:t xml:space="preserve"> dle Dodatku </w:t>
      </w:r>
      <w:r w:rsidR="00176706" w:rsidRPr="00176706">
        <w:rPr>
          <w:b/>
          <w:i/>
          <w:color w:val="000000" w:themeColor="text1"/>
        </w:rPr>
        <w:t>č. 2</w:t>
      </w:r>
      <w:r w:rsidRPr="00176706">
        <w:rPr>
          <w:b/>
          <w:i/>
          <w:color w:val="000000" w:themeColor="text1"/>
        </w:rPr>
        <w:t xml:space="preserve">, </w:t>
      </w:r>
      <w:r w:rsidRPr="00176706">
        <w:rPr>
          <w:i/>
          <w:color w:val="000000" w:themeColor="text1"/>
        </w:rPr>
        <w:t xml:space="preserve">a dále v dokumentech, které byly součástí zadávací dokumentace k Veřejné zakázce, a to v </w:t>
      </w:r>
      <w:r w:rsidRPr="00176706">
        <w:rPr>
          <w:b/>
          <w:i/>
          <w:color w:val="000000" w:themeColor="text1"/>
        </w:rPr>
        <w:t>Projektové dokumentaci a v závazných dokumentech k realizaci stavby</w:t>
      </w:r>
      <w:r w:rsidRPr="00176706">
        <w:rPr>
          <w:i/>
          <w:color w:val="000000" w:themeColor="text1"/>
        </w:rPr>
        <w:t xml:space="preserve"> (níže uvedené dokumenty dále označovány jako „Technické zadání“):</w:t>
      </w:r>
    </w:p>
    <w:p w14:paraId="38509179" w14:textId="77777777" w:rsidR="00F50E1A" w:rsidRDefault="009B7022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t>Prováděcí dokumentace „DEPOZITNÍ SKLAD a TECHNICKÉ ZÁZEMÍ na ul. Wittgensteinova 12 v Olomouci-NOVOSTAVBA“, zpracovatel: Ing. Martin Trokan, se sídlem Žerotín 101, 784 01 p. Litovel, autorizovaný inženýr pod č.AI 1200065</w:t>
      </w:r>
    </w:p>
    <w:p w14:paraId="05E991A6" w14:textId="77777777" w:rsidR="00176706" w:rsidRDefault="00176706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t>dokumentace „DEPOZITNÍ SKLAD a TECHNICKÉ ZÁZEMÍ na ul. Wittgensteinova 12 v Olomouci-NOVOSTAVBA. Změna stavby před dokončením“, zpracovatel: Ing. Martin Trokan, se sídlem Žerotín 101, 784 01 p. Litovel, autorizovaný inženýr pod č.AI 1200065, 10-11/2024.</w:t>
      </w:r>
    </w:p>
    <w:p w14:paraId="6C8533BE" w14:textId="77777777" w:rsidR="00F50E1A" w:rsidRDefault="009B7022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lastRenderedPageBreak/>
        <w:t xml:space="preserve">zjednodušená projektová </w:t>
      </w:r>
      <w:proofErr w:type="gramStart"/>
      <w:r>
        <w:rPr>
          <w:i/>
          <w:color w:val="00000A"/>
        </w:rPr>
        <w:t>dokumentace ,</w:t>
      </w:r>
      <w:proofErr w:type="spellStart"/>
      <w:r>
        <w:rPr>
          <w:i/>
          <w:color w:val="00000A"/>
        </w:rPr>
        <w:t>PASPORT´</w:t>
      </w:r>
      <w:proofErr w:type="gramEnd"/>
      <w:r>
        <w:rPr>
          <w:i/>
          <w:color w:val="00000A"/>
        </w:rPr>
        <w:t>„Objekt</w:t>
      </w:r>
      <w:proofErr w:type="spellEnd"/>
      <w:r>
        <w:rPr>
          <w:i/>
          <w:color w:val="00000A"/>
        </w:rPr>
        <w:t xml:space="preserve"> NPÚ ÚOP v Olomouci na ul. Wittgensteinova 12 v Olomouci“, zpracovatel: Ing. Martin Trokan, se sídlem Žerotín 101, 784 01 p. Litovel, autorizovaný inženýr pod č.AI 1200065</w:t>
      </w:r>
    </w:p>
    <w:p w14:paraId="4D1EE0D5" w14:textId="77777777" w:rsidR="00F50E1A" w:rsidRDefault="009B7022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t xml:space="preserve">„PROJEKTOVÁ A TECHNICKÁ DOKUMENTACE - FVE elektrárna o výkonu 41,8 </w:t>
      </w:r>
      <w:proofErr w:type="spellStart"/>
      <w:r>
        <w:rPr>
          <w:i/>
          <w:color w:val="00000A"/>
        </w:rPr>
        <w:t>kWp</w:t>
      </w:r>
      <w:proofErr w:type="spellEnd"/>
      <w:r>
        <w:rPr>
          <w:i/>
          <w:color w:val="00000A"/>
        </w:rPr>
        <w:t xml:space="preserve"> - NPU Olomouc“, zpracovatel: Milan Trávníček, se sídlem Vaníčkova 518/18, Olomouc, autorizace v oboru technika prostředí staveb – specializace elektrotechnická zařízení ČKAIT 1202176</w:t>
      </w:r>
    </w:p>
    <w:p w14:paraId="34A418EE" w14:textId="77777777" w:rsidR="00F50E1A" w:rsidRDefault="009B7022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t>Magistrát města Olomouce, POVOLENÍ K ODSTRANĚNÍ STAVBY, Č. j. SMOL/135164/ 2019/OS/PS/</w:t>
      </w:r>
      <w:proofErr w:type="spellStart"/>
      <w:r>
        <w:rPr>
          <w:i/>
          <w:color w:val="00000A"/>
        </w:rPr>
        <w:t>Mod</w:t>
      </w:r>
      <w:proofErr w:type="spellEnd"/>
    </w:p>
    <w:p w14:paraId="165D3C3A" w14:textId="77777777" w:rsidR="00F50E1A" w:rsidRDefault="009B7022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t>Magistrát města Olomouce, ÚZEMNÍ ROZHODNUTÍ č. 68/2019, Č. j. SMOL/213947/ 2019/OS/US/</w:t>
      </w:r>
      <w:proofErr w:type="spellStart"/>
      <w:r>
        <w:rPr>
          <w:i/>
          <w:color w:val="00000A"/>
        </w:rPr>
        <w:t>Zb</w:t>
      </w:r>
      <w:proofErr w:type="spellEnd"/>
    </w:p>
    <w:p w14:paraId="11DC47C7" w14:textId="77777777" w:rsidR="00F50E1A" w:rsidRDefault="009B7022" w:rsidP="00E578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340"/>
        <w:jc w:val="both"/>
        <w:rPr>
          <w:i/>
          <w:color w:val="00000A"/>
        </w:rPr>
      </w:pPr>
      <w:r>
        <w:rPr>
          <w:i/>
          <w:color w:val="00000A"/>
        </w:rPr>
        <w:t>Magistrát města Olomouce, STAVEBNÍ POVOLENÍ, Č. j. SMOL/268276/2019/OS/PS/</w:t>
      </w:r>
      <w:proofErr w:type="spellStart"/>
      <w:r>
        <w:rPr>
          <w:i/>
          <w:color w:val="00000A"/>
        </w:rPr>
        <w:t>Ste</w:t>
      </w:r>
      <w:proofErr w:type="spellEnd"/>
    </w:p>
    <w:p w14:paraId="4ABA5471" w14:textId="77777777" w:rsidR="00F50E1A" w:rsidRDefault="00176706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="009B7022">
        <w:rPr>
          <w:i/>
          <w:color w:val="000000"/>
        </w:rPr>
        <w:t>(dále jen „</w:t>
      </w:r>
      <w:r w:rsidR="009B7022">
        <w:rPr>
          <w:b/>
          <w:i/>
          <w:color w:val="000000"/>
        </w:rPr>
        <w:t>Dílo</w:t>
      </w:r>
      <w:r w:rsidR="009B7022">
        <w:rPr>
          <w:i/>
          <w:color w:val="000000"/>
        </w:rPr>
        <w:t xml:space="preserve">"). </w:t>
      </w:r>
    </w:p>
    <w:p w14:paraId="694640E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</w:p>
    <w:p w14:paraId="4734AD31" w14:textId="558CBACC" w:rsidR="00F50E1A" w:rsidRPr="00D250E8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D250E8">
        <w:t xml:space="preserve">Touto změnou dojde k navýšení ceny Díla v částce </w:t>
      </w:r>
      <w:r w:rsidR="00176706" w:rsidRPr="00D250E8">
        <w:rPr>
          <w:b/>
        </w:rPr>
        <w:t>1.599.604</w:t>
      </w:r>
      <w:r w:rsidR="001F6712" w:rsidRPr="00D250E8">
        <w:rPr>
          <w:b/>
        </w:rPr>
        <w:t>,</w:t>
      </w:r>
      <w:r w:rsidR="00176706" w:rsidRPr="00D250E8">
        <w:rPr>
          <w:b/>
        </w:rPr>
        <w:t>79</w:t>
      </w:r>
      <w:r w:rsidRPr="00D250E8">
        <w:rPr>
          <w:b/>
        </w:rPr>
        <w:t xml:space="preserve"> Kč</w:t>
      </w:r>
      <w:r w:rsidRPr="00D250E8">
        <w:t xml:space="preserve">, tj. </w:t>
      </w:r>
      <w:r w:rsidR="00176706" w:rsidRPr="00D250E8">
        <w:t>1</w:t>
      </w:r>
      <w:r w:rsidR="00A6288B" w:rsidRPr="00D250E8">
        <w:t>.</w:t>
      </w:r>
      <w:r w:rsidR="00176706" w:rsidRPr="00D250E8">
        <w:t>935</w:t>
      </w:r>
      <w:r w:rsidR="00A6288B" w:rsidRPr="00D250E8">
        <w:t>.521,80</w:t>
      </w:r>
      <w:r w:rsidRPr="00D250E8">
        <w:t xml:space="preserve"> Kč včetně DPH, při DPH ve výši 21%. </w:t>
      </w:r>
    </w:p>
    <w:p w14:paraId="4AE51162" w14:textId="77777777" w:rsidR="00F50E1A" w:rsidRPr="00D250E8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D250E8">
        <w:t>Smluvní strany se dohodly na změně čl. 5.1. Smlouvy takto:</w:t>
      </w:r>
    </w:p>
    <w:p w14:paraId="50D8BB9C" w14:textId="45B352F1" w:rsidR="00F50E1A" w:rsidRPr="00D250E8" w:rsidRDefault="009B7022" w:rsidP="00E578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i/>
        </w:rPr>
      </w:pPr>
      <w:r w:rsidRPr="00D250E8">
        <w:rPr>
          <w:i/>
        </w:rPr>
        <w:t xml:space="preserve">Smluvní cena je stanovena podle skutečné výměry prací, oceněné na základě jednotkových cen uvedených Zhotovitelem v Příloze 1 Smlouvy: Rozpočet, </w:t>
      </w:r>
      <w:r w:rsidR="001F6712" w:rsidRPr="00D250E8">
        <w:rPr>
          <w:i/>
        </w:rPr>
        <w:t xml:space="preserve">dle změnového listu č. 1 </w:t>
      </w:r>
      <w:r w:rsidR="00A6288B" w:rsidRPr="00D250E8">
        <w:rPr>
          <w:i/>
        </w:rPr>
        <w:t xml:space="preserve">ve znění dodatku č. 1 </w:t>
      </w:r>
      <w:r w:rsidRPr="00D250E8">
        <w:rPr>
          <w:i/>
        </w:rPr>
        <w:t>a dle změnov</w:t>
      </w:r>
      <w:r w:rsidR="00A6288B" w:rsidRPr="00D250E8">
        <w:rPr>
          <w:i/>
        </w:rPr>
        <w:t>ých</w:t>
      </w:r>
      <w:r w:rsidRPr="00D250E8">
        <w:rPr>
          <w:i/>
        </w:rPr>
        <w:t xml:space="preserve"> list</w:t>
      </w:r>
      <w:r w:rsidR="00A6288B" w:rsidRPr="00D250E8">
        <w:rPr>
          <w:i/>
        </w:rPr>
        <w:t>ů</w:t>
      </w:r>
      <w:r w:rsidRPr="00D250E8">
        <w:rPr>
          <w:i/>
        </w:rPr>
        <w:t xml:space="preserve"> č. </w:t>
      </w:r>
      <w:r w:rsidR="00A6288B" w:rsidRPr="00D250E8">
        <w:rPr>
          <w:i/>
        </w:rPr>
        <w:t>2, 3 a 4</w:t>
      </w:r>
      <w:r w:rsidR="001F6712" w:rsidRPr="00D250E8">
        <w:rPr>
          <w:i/>
        </w:rPr>
        <w:t xml:space="preserve"> ve znění dodatku č. 2</w:t>
      </w:r>
      <w:r w:rsidRPr="00D250E8">
        <w:rPr>
          <w:i/>
        </w:rPr>
        <w:t>:</w:t>
      </w:r>
    </w:p>
    <w:p w14:paraId="25A235CD" w14:textId="77777777" w:rsidR="00F50E1A" w:rsidRPr="00D250E8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6403AE">
        <w:rPr>
          <w:b/>
          <w:i/>
        </w:rPr>
        <w:t>v celkové výši 4</w:t>
      </w:r>
      <w:r w:rsidR="00A6288B" w:rsidRPr="006403AE">
        <w:rPr>
          <w:b/>
          <w:i/>
        </w:rPr>
        <w:t>7</w:t>
      </w:r>
      <w:r w:rsidRPr="006403AE">
        <w:rPr>
          <w:b/>
          <w:i/>
        </w:rPr>
        <w:t xml:space="preserve"> </w:t>
      </w:r>
      <w:r w:rsidR="00A6288B" w:rsidRPr="006403AE">
        <w:rPr>
          <w:b/>
          <w:i/>
        </w:rPr>
        <w:t>021</w:t>
      </w:r>
      <w:r w:rsidRPr="006403AE">
        <w:rPr>
          <w:b/>
          <w:i/>
        </w:rPr>
        <w:t xml:space="preserve"> </w:t>
      </w:r>
      <w:r w:rsidR="00A6288B" w:rsidRPr="006403AE">
        <w:rPr>
          <w:b/>
          <w:i/>
        </w:rPr>
        <w:t>725</w:t>
      </w:r>
      <w:r w:rsidRPr="006403AE">
        <w:rPr>
          <w:b/>
          <w:i/>
        </w:rPr>
        <w:t>,</w:t>
      </w:r>
      <w:r w:rsidR="00A6288B" w:rsidRPr="006403AE">
        <w:rPr>
          <w:b/>
          <w:i/>
        </w:rPr>
        <w:t>89</w:t>
      </w:r>
      <w:r w:rsidRPr="006403AE">
        <w:rPr>
          <w:b/>
          <w:i/>
        </w:rPr>
        <w:t xml:space="preserve"> Kč</w:t>
      </w:r>
      <w:r w:rsidRPr="00D250E8">
        <w:rPr>
          <w:i/>
        </w:rPr>
        <w:t xml:space="preserve"> („Smluvní cena“); smluvní cena nezahrnuje daň z přidané hodnoty (dále jen „DPH“)</w:t>
      </w:r>
    </w:p>
    <w:p w14:paraId="5AF6C30D" w14:textId="77777777" w:rsidR="00F50E1A" w:rsidRPr="00D250E8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D250E8">
        <w:rPr>
          <w:i/>
        </w:rPr>
        <w:t>DPH ve výši 9</w:t>
      </w:r>
      <w:r w:rsidR="00A6288B" w:rsidRPr="00D250E8">
        <w:rPr>
          <w:i/>
        </w:rPr>
        <w:t> 874 562,44</w:t>
      </w:r>
      <w:r w:rsidRPr="00D250E8">
        <w:rPr>
          <w:i/>
        </w:rPr>
        <w:t xml:space="preserve"> Kč</w:t>
      </w:r>
    </w:p>
    <w:p w14:paraId="47A5B1CC" w14:textId="77777777" w:rsidR="00F50E1A" w:rsidRPr="00D250E8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 w:firstLine="360"/>
        <w:jc w:val="both"/>
      </w:pPr>
      <w:r w:rsidRPr="006403AE">
        <w:rPr>
          <w:b/>
          <w:i/>
        </w:rPr>
        <w:t>v celkové výši 5</w:t>
      </w:r>
      <w:r w:rsidR="00A6288B" w:rsidRPr="006403AE">
        <w:rPr>
          <w:b/>
          <w:i/>
        </w:rPr>
        <w:t>6</w:t>
      </w:r>
      <w:r w:rsidRPr="006403AE">
        <w:rPr>
          <w:b/>
          <w:i/>
        </w:rPr>
        <w:t> </w:t>
      </w:r>
      <w:r w:rsidR="00A6288B" w:rsidRPr="006403AE">
        <w:rPr>
          <w:b/>
          <w:i/>
        </w:rPr>
        <w:t>896</w:t>
      </w:r>
      <w:r w:rsidRPr="006403AE">
        <w:rPr>
          <w:b/>
          <w:i/>
        </w:rPr>
        <w:t> </w:t>
      </w:r>
      <w:r w:rsidR="00A6288B" w:rsidRPr="006403AE">
        <w:rPr>
          <w:b/>
          <w:i/>
        </w:rPr>
        <w:t>288</w:t>
      </w:r>
      <w:r w:rsidRPr="006403AE">
        <w:rPr>
          <w:b/>
          <w:i/>
        </w:rPr>
        <w:t>,</w:t>
      </w:r>
      <w:r w:rsidR="00A6288B" w:rsidRPr="006403AE">
        <w:rPr>
          <w:b/>
          <w:i/>
        </w:rPr>
        <w:t>33</w:t>
      </w:r>
      <w:r w:rsidRPr="006403AE">
        <w:rPr>
          <w:b/>
          <w:i/>
        </w:rPr>
        <w:t xml:space="preserve"> Kč vč. DPH</w:t>
      </w:r>
      <w:r w:rsidRPr="00D250E8">
        <w:t>.</w:t>
      </w:r>
    </w:p>
    <w:p w14:paraId="3AA2C46A" w14:textId="77777777" w:rsidR="00F50E1A" w:rsidRPr="00D250E8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</w:pPr>
    </w:p>
    <w:p w14:paraId="4746A26D" w14:textId="45EF9DC8" w:rsidR="004E6B81" w:rsidRPr="00D250E8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D250E8">
        <w:t xml:space="preserve">Předmětné změny závazku ze Smlouvy jsou prováděny ve smyslu </w:t>
      </w:r>
      <w:proofErr w:type="spellStart"/>
      <w:r w:rsidRPr="00D250E8">
        <w:t>ust</w:t>
      </w:r>
      <w:proofErr w:type="spellEnd"/>
      <w:r w:rsidRPr="00D250E8">
        <w:t xml:space="preserve">. § 222 odst. </w:t>
      </w:r>
      <w:r w:rsidR="00C64884" w:rsidRPr="00D250E8">
        <w:t>6</w:t>
      </w:r>
      <w:r w:rsidRPr="00D250E8">
        <w:t xml:space="preserve"> </w:t>
      </w:r>
      <w:r w:rsidR="004E6B81" w:rsidRPr="00D250E8">
        <w:t xml:space="preserve">a odst. 9 </w:t>
      </w:r>
      <w:r w:rsidRPr="00D250E8">
        <w:t>zákona č. 134/2016 Sb., o zadávání veřejných zakázek, v účinném znění, jakožto nepodstatná změna závazku</w:t>
      </w:r>
      <w:r w:rsidR="004E6B81" w:rsidRPr="00D250E8">
        <w:t xml:space="preserve">: </w:t>
      </w:r>
    </w:p>
    <w:p w14:paraId="7856F343" w14:textId="12E709CA" w:rsidR="004E6B81" w:rsidRPr="00D250E8" w:rsidRDefault="004E6B81" w:rsidP="00E578B8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50E8">
        <w:rPr>
          <w:rFonts w:asciiTheme="minorHAnsi" w:hAnsiTheme="minorHAnsi" w:cstheme="minorHAnsi"/>
          <w:sz w:val="22"/>
          <w:szCs w:val="22"/>
        </w:rPr>
        <w:t>jejíž potřeba vznikla v důsledku okolností, které Objednatel jednající s náležitou péčí nemohl předvídat, jelikož z</w:t>
      </w:r>
      <w:r w:rsidR="009B7022" w:rsidRPr="00D250E8">
        <w:rPr>
          <w:rFonts w:asciiTheme="minorHAnsi" w:hAnsiTheme="minorHAnsi" w:cstheme="minorHAnsi"/>
          <w:sz w:val="22"/>
          <w:szCs w:val="22"/>
        </w:rPr>
        <w:t>měna vychází z nálezových situací, které Objednatel ani projektant vypracovávající projektovou dokumentaci pro provádění Stavby, podle níž je Dílo dle Smlouvy prováděno, nemohl posoudit do doby skutečného rozkrytí konstrukcí Objektu</w:t>
      </w:r>
      <w:r w:rsidRPr="00D250E8">
        <w:rPr>
          <w:rFonts w:asciiTheme="minorHAnsi" w:hAnsiTheme="minorHAnsi" w:cstheme="minorHAnsi"/>
          <w:sz w:val="22"/>
          <w:szCs w:val="22"/>
        </w:rPr>
        <w:t>,</w:t>
      </w:r>
    </w:p>
    <w:p w14:paraId="560EA125" w14:textId="77777777" w:rsidR="004E6B81" w:rsidRPr="00D250E8" w:rsidRDefault="00C64884" w:rsidP="00E578B8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50E8">
        <w:rPr>
          <w:rFonts w:asciiTheme="minorHAnsi" w:hAnsiTheme="minorHAnsi" w:cstheme="minorHAnsi"/>
          <w:sz w:val="22"/>
          <w:szCs w:val="22"/>
        </w:rPr>
        <w:t>změna současně nemění celkovou povahu Veřejné zakázky</w:t>
      </w:r>
      <w:r w:rsidR="004E6B81" w:rsidRPr="00D250E8">
        <w:rPr>
          <w:rFonts w:asciiTheme="minorHAnsi" w:hAnsiTheme="minorHAnsi" w:cstheme="minorHAnsi"/>
          <w:sz w:val="22"/>
          <w:szCs w:val="22"/>
        </w:rPr>
        <w:t xml:space="preserve">, a </w:t>
      </w:r>
    </w:p>
    <w:p w14:paraId="1155E02A" w14:textId="45DA4059" w:rsidR="00F50E1A" w:rsidRDefault="004E6B81" w:rsidP="00E578B8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0E8">
        <w:rPr>
          <w:rFonts w:asciiTheme="minorHAnsi" w:hAnsiTheme="minorHAnsi" w:cstheme="minorHAnsi"/>
          <w:sz w:val="22"/>
          <w:szCs w:val="22"/>
        </w:rPr>
        <w:t>c</w:t>
      </w:r>
      <w:r w:rsidR="00C64884" w:rsidRPr="00D250E8">
        <w:rPr>
          <w:rFonts w:asciiTheme="minorHAnsi" w:hAnsiTheme="minorHAnsi" w:cstheme="minorHAnsi"/>
          <w:sz w:val="22"/>
          <w:szCs w:val="22"/>
        </w:rPr>
        <w:t>enový nárů</w:t>
      </w:r>
      <w:r w:rsidR="0005437E" w:rsidRPr="00D250E8">
        <w:rPr>
          <w:rFonts w:asciiTheme="minorHAnsi" w:hAnsiTheme="minorHAnsi" w:cstheme="minorHAnsi"/>
          <w:sz w:val="22"/>
          <w:szCs w:val="22"/>
        </w:rPr>
        <w:t>st související se změnami</w:t>
      </w:r>
      <w:r w:rsidR="00C64884" w:rsidRPr="00D250E8">
        <w:rPr>
          <w:rFonts w:asciiTheme="minorHAnsi" w:hAnsiTheme="minorHAnsi" w:cstheme="minorHAnsi"/>
          <w:sz w:val="22"/>
          <w:szCs w:val="22"/>
        </w:rPr>
        <w:t xml:space="preserve"> Díla</w:t>
      </w:r>
      <w:r w:rsidR="009B7022" w:rsidRPr="00D250E8">
        <w:rPr>
          <w:rFonts w:asciiTheme="minorHAnsi" w:hAnsiTheme="minorHAnsi" w:cstheme="minorHAnsi"/>
          <w:sz w:val="22"/>
          <w:szCs w:val="22"/>
        </w:rPr>
        <w:t xml:space="preserve"> dle tohoto Dodatku </w:t>
      </w:r>
      <w:r w:rsidR="00C64884" w:rsidRPr="00D250E8">
        <w:rPr>
          <w:rFonts w:asciiTheme="minorHAnsi" w:hAnsiTheme="minorHAnsi" w:cstheme="minorHAnsi"/>
          <w:sz w:val="22"/>
          <w:szCs w:val="22"/>
        </w:rPr>
        <w:t xml:space="preserve">při odečtení stavebních prací, služeb nebo dodávek, které nebyly realizovány, </w:t>
      </w:r>
      <w:r w:rsidR="009B7022" w:rsidRPr="00D250E8">
        <w:rPr>
          <w:rFonts w:asciiTheme="minorHAnsi" w:hAnsiTheme="minorHAnsi" w:cstheme="minorHAnsi"/>
          <w:sz w:val="22"/>
          <w:szCs w:val="22"/>
        </w:rPr>
        <w:t xml:space="preserve">činí </w:t>
      </w:r>
      <w:r w:rsidR="00A6288B" w:rsidRPr="00D250E8">
        <w:rPr>
          <w:rFonts w:asciiTheme="minorHAnsi" w:hAnsiTheme="minorHAnsi" w:cstheme="minorHAnsi"/>
          <w:sz w:val="22"/>
          <w:szCs w:val="22"/>
        </w:rPr>
        <w:t>3</w:t>
      </w:r>
      <w:r w:rsidR="009B7022" w:rsidRPr="00D250E8">
        <w:rPr>
          <w:rFonts w:asciiTheme="minorHAnsi" w:hAnsiTheme="minorHAnsi" w:cstheme="minorHAnsi"/>
          <w:sz w:val="22"/>
          <w:szCs w:val="22"/>
        </w:rPr>
        <w:t>,</w:t>
      </w:r>
      <w:r w:rsidR="00A6288B" w:rsidRPr="00D250E8">
        <w:rPr>
          <w:rFonts w:asciiTheme="minorHAnsi" w:hAnsiTheme="minorHAnsi" w:cstheme="minorHAnsi"/>
          <w:sz w:val="22"/>
          <w:szCs w:val="22"/>
        </w:rPr>
        <w:t>53</w:t>
      </w:r>
      <w:r w:rsidR="009B7022" w:rsidRPr="00D250E8">
        <w:rPr>
          <w:rFonts w:asciiTheme="minorHAnsi" w:hAnsiTheme="minorHAnsi" w:cstheme="minorHAnsi"/>
          <w:sz w:val="22"/>
          <w:szCs w:val="22"/>
        </w:rPr>
        <w:t xml:space="preserve"> % původní hodnoty závazku</w:t>
      </w:r>
      <w:r w:rsidRPr="00D250E8">
        <w:rPr>
          <w:rFonts w:asciiTheme="minorHAnsi" w:hAnsiTheme="minorHAnsi" w:cstheme="minorHAnsi"/>
          <w:sz w:val="22"/>
          <w:szCs w:val="22"/>
        </w:rPr>
        <w:t xml:space="preserve"> ze Smlouvy</w:t>
      </w:r>
      <w:r w:rsidR="009B7022" w:rsidRPr="004E6B8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EAC951" w14:textId="77777777" w:rsidR="00E578B8" w:rsidRPr="004E6B81" w:rsidRDefault="00E578B8" w:rsidP="00E578B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D216C4" w14:textId="10FF6A97" w:rsidR="008F335C" w:rsidRPr="0073723E" w:rsidRDefault="00E20E06" w:rsidP="00E20E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73723E">
        <w:t>Smluvní strany se tímto dále dohodly na oprávnění Objednatele převzít a na povinnosti Zhotovitele dokončit a předat Objednateli dílčí část Díla v rozsahu fotovoltaické elektrárny</w:t>
      </w:r>
      <w:r w:rsidR="008F335C" w:rsidRPr="0073723E">
        <w:t>,</w:t>
      </w:r>
      <w:r w:rsidRPr="0073723E">
        <w:t xml:space="preserve"> </w:t>
      </w:r>
      <w:r w:rsidR="008F335C" w:rsidRPr="0073723E">
        <w:t xml:space="preserve">která je provozně a věcně způsobilá samostatného provozu i před dokončením Díla jako celku </w:t>
      </w:r>
      <w:r w:rsidRPr="0073723E">
        <w:t xml:space="preserve">(položky č. </w:t>
      </w:r>
      <w:r w:rsidR="0073723E" w:rsidRPr="0073723E">
        <w:t>1-62 na listu 013</w:t>
      </w:r>
      <w:r w:rsidRPr="0073723E">
        <w:t xml:space="preserve"> v Příloze č. 1: Rozpočet</w:t>
      </w:r>
      <w:r w:rsidR="008F335C" w:rsidRPr="0073723E">
        <w:t xml:space="preserve"> – dále označováno jen jako „FTV“</w:t>
      </w:r>
      <w:r w:rsidRPr="0073723E">
        <w:t>)</w:t>
      </w:r>
      <w:r w:rsidR="008F335C" w:rsidRPr="0073723E">
        <w:t xml:space="preserve"> takto:</w:t>
      </w:r>
    </w:p>
    <w:p w14:paraId="1AD910D2" w14:textId="77777777" w:rsidR="006403AE" w:rsidRPr="0073723E" w:rsidRDefault="006403AE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</w:pPr>
    </w:p>
    <w:p w14:paraId="01B8FAC5" w14:textId="77777777" w:rsidR="006403AE" w:rsidRPr="0073723E" w:rsidRDefault="008F335C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</w:pPr>
      <w:r w:rsidRPr="0073723E">
        <w:t xml:space="preserve">Smluvní strany se tímto dohodly na úpravě čl. 4.1.3. Smlouvy takto: </w:t>
      </w:r>
    </w:p>
    <w:p w14:paraId="04081C62" w14:textId="5AC71530" w:rsidR="008F335C" w:rsidRPr="0073723E" w:rsidRDefault="006403AE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i/>
        </w:rPr>
      </w:pPr>
      <w:r w:rsidRPr="0073723E">
        <w:rPr>
          <w:b/>
          <w:i/>
        </w:rPr>
        <w:t xml:space="preserve">4.1.3. </w:t>
      </w:r>
      <w:r w:rsidR="008F335C" w:rsidRPr="0073723E">
        <w:rPr>
          <w:b/>
          <w:i/>
        </w:rPr>
        <w:t>Stavba a zprovoznění FTV proběhne v prvním roce výstavby, tj. rok 2024; Doba pro dokončení části Díla v rozsahu FTV: do 31. 1</w:t>
      </w:r>
      <w:r w:rsidR="0073723E" w:rsidRPr="0073723E">
        <w:rPr>
          <w:b/>
          <w:i/>
        </w:rPr>
        <w:t>2</w:t>
      </w:r>
      <w:r w:rsidR="008F335C" w:rsidRPr="0073723E">
        <w:rPr>
          <w:b/>
          <w:i/>
        </w:rPr>
        <w:t>. 2024</w:t>
      </w:r>
      <w:r w:rsidR="002745E6" w:rsidRPr="0073723E">
        <w:rPr>
          <w:b/>
          <w:i/>
        </w:rPr>
        <w:t xml:space="preserve"> (dále také jako „Dílčí milník - FTV“</w:t>
      </w:r>
      <w:r w:rsidRPr="0073723E">
        <w:rPr>
          <w:b/>
          <w:i/>
        </w:rPr>
        <w:t>)</w:t>
      </w:r>
      <w:r w:rsidR="008F335C" w:rsidRPr="0073723E">
        <w:rPr>
          <w:b/>
          <w:i/>
        </w:rPr>
        <w:t>.</w:t>
      </w:r>
    </w:p>
    <w:p w14:paraId="146710F9" w14:textId="77777777" w:rsidR="006403AE" w:rsidRPr="006403AE" w:rsidRDefault="006403AE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i/>
          <w:color w:val="000000"/>
        </w:rPr>
      </w:pPr>
    </w:p>
    <w:p w14:paraId="14659509" w14:textId="77777777" w:rsidR="006403AE" w:rsidRDefault="006403AE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>
        <w:rPr>
          <w:color w:val="000000"/>
        </w:rPr>
        <w:t xml:space="preserve">Smluvní strany se tímto dohodly na úpravě čl. 4.3. Smlouvy takto: </w:t>
      </w:r>
    </w:p>
    <w:p w14:paraId="61DF6CDA" w14:textId="772DDDA6" w:rsidR="006403AE" w:rsidRPr="006403AE" w:rsidRDefault="006403AE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i/>
          <w:color w:val="000000"/>
        </w:rPr>
      </w:pPr>
      <w:r w:rsidRPr="006403AE">
        <w:rPr>
          <w:b/>
          <w:i/>
          <w:color w:val="000000"/>
        </w:rPr>
        <w:t>4.3. Dílo je provedeno, je-li dokončeno ve smyslu článku 4.4. a předáno ve smyslu článku 4.6. Smlouvy</w:t>
      </w:r>
      <w:r w:rsidR="00AA2339">
        <w:rPr>
          <w:b/>
          <w:i/>
          <w:color w:val="000000"/>
        </w:rPr>
        <w:t>. Ustanovení čl. 4.4. až 4.8</w:t>
      </w:r>
      <w:r w:rsidRPr="006403AE">
        <w:rPr>
          <w:b/>
          <w:i/>
          <w:color w:val="000000"/>
        </w:rPr>
        <w:t xml:space="preserve">. Smlouvy se použití obdobně i na dokončení a převzetí </w:t>
      </w:r>
      <w:r w:rsidRPr="006403AE">
        <w:rPr>
          <w:b/>
          <w:i/>
        </w:rPr>
        <w:t>Dílčího milníku – FTV.</w:t>
      </w:r>
    </w:p>
    <w:p w14:paraId="563544EB" w14:textId="77777777" w:rsidR="002745E6" w:rsidRDefault="002745E6" w:rsidP="006403A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</w:p>
    <w:p w14:paraId="5FC055AE" w14:textId="33B84C24" w:rsidR="00E33AEE" w:rsidRDefault="00E33AEE" w:rsidP="00E33AE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>
        <w:rPr>
          <w:color w:val="000000"/>
        </w:rPr>
        <w:t xml:space="preserve">Smluvní strany se dále dohodly na úpravě čl. 9.2. Smlouvy takto: </w:t>
      </w:r>
    </w:p>
    <w:p w14:paraId="404DD692" w14:textId="72624FE4" w:rsidR="00E33AEE" w:rsidRPr="00E33AEE" w:rsidRDefault="00E33AEE" w:rsidP="00E33AE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i/>
          <w:color w:val="000000"/>
        </w:rPr>
      </w:pPr>
      <w:r w:rsidRPr="00E33AEE">
        <w:rPr>
          <w:b/>
          <w:i/>
          <w:color w:val="000000"/>
        </w:rPr>
        <w:t xml:space="preserve">Záruční doba Díla činí 60 měsíců (dále jen „Základní záruční doba“), s výjimkou technologických prvků nebo kompletních výrobků, jež jsou Zhotovitelem v rámci Díla dodány a jejichž délka záruky činí 24 </w:t>
      </w:r>
      <w:r w:rsidRPr="00E33AEE">
        <w:rPr>
          <w:b/>
          <w:i/>
          <w:color w:val="000000"/>
        </w:rPr>
        <w:lastRenderedPageBreak/>
        <w:t>měsíců</w:t>
      </w:r>
      <w:sdt>
        <w:sdtPr>
          <w:rPr>
            <w:b/>
            <w:i/>
          </w:rPr>
          <w:tag w:val="goog_rdk_20"/>
          <w:id w:val="73412511"/>
        </w:sdtPr>
        <w:sdtEndPr/>
        <w:sdtContent/>
      </w:sdt>
      <w:r w:rsidRPr="00E33AEE">
        <w:rPr>
          <w:b/>
          <w:i/>
          <w:color w:val="000000"/>
        </w:rPr>
        <w:t>.</w:t>
      </w:r>
      <w:sdt>
        <w:sdtPr>
          <w:rPr>
            <w:b/>
            <w:i/>
          </w:rPr>
          <w:tag w:val="goog_rdk_21"/>
          <w:id w:val="-873914032"/>
        </w:sdtPr>
        <w:sdtEndPr/>
        <w:sdtContent>
          <w:r w:rsidRPr="00E33AEE">
            <w:rPr>
              <w:b/>
              <w:i/>
              <w:color w:val="000000"/>
            </w:rPr>
            <w:t xml:space="preserve"> </w:t>
          </w:r>
          <w:sdt>
            <w:sdtPr>
              <w:rPr>
                <w:b/>
                <w:i/>
              </w:rPr>
              <w:tag w:val="goog_rdk_22"/>
              <w:id w:val="639299970"/>
            </w:sdtPr>
            <w:sdtEndPr/>
            <w:sdtContent>
              <w:r w:rsidRPr="00E33AEE">
                <w:rPr>
                  <w:b/>
                  <w:i/>
                  <w:color w:val="202124"/>
                  <w:highlight w:val="white"/>
                </w:rPr>
                <w:t>U solárních panelů záruku </w:t>
              </w:r>
            </w:sdtContent>
          </w:sdt>
          <w:sdt>
            <w:sdtPr>
              <w:rPr>
                <w:b/>
                <w:i/>
              </w:rPr>
              <w:tag w:val="goog_rdk_23"/>
              <w:id w:val="2054963516"/>
            </w:sdtPr>
            <w:sdtEndPr/>
            <w:sdtContent>
              <w:r w:rsidRPr="00E33AEE">
                <w:rPr>
                  <w:b/>
                  <w:i/>
                  <w:color w:val="040C28"/>
                </w:rPr>
                <w:t>240 měsíců na 80 % výkonu</w:t>
              </w:r>
            </w:sdtContent>
          </w:sdt>
          <w:sdt>
            <w:sdtPr>
              <w:rPr>
                <w:b/>
                <w:i/>
              </w:rPr>
              <w:tag w:val="goog_rdk_24"/>
              <w:id w:val="-452797157"/>
            </w:sdtPr>
            <w:sdtEndPr/>
            <w:sdtContent>
              <w:r w:rsidRPr="00E33AEE">
                <w:rPr>
                  <w:b/>
                  <w:i/>
                  <w:color w:val="202124"/>
                  <w:highlight w:val="white"/>
                </w:rPr>
                <w:t>, na mechanické součásti panelů 120 měsíců, na střídače 180 měsíců. Na ostatní komponenty, jako jsou jističe, elektroměry či přepěťové ochrany dostanete garanci 24 měsíců</w:t>
              </w:r>
              <w:r w:rsidRPr="00E33AEE">
                <w:rPr>
                  <w:b/>
                  <w:i/>
                  <w:color w:val="202124"/>
                  <w:highlight w:val="white"/>
                  <w:u w:val="single"/>
                </w:rPr>
                <w:t>.</w:t>
              </w:r>
            </w:sdtContent>
          </w:sdt>
        </w:sdtContent>
      </w:sdt>
      <w:r w:rsidRPr="00E33AEE">
        <w:rPr>
          <w:b/>
          <w:i/>
          <w:color w:val="000000"/>
        </w:rPr>
        <w:t xml:space="preserve"> V případě, že bude na faktuře nebo na dodacím listu vyznačena delší záruční doba, má tato přednost před ustanovením této Smlouvy.</w:t>
      </w:r>
      <w:r w:rsidR="002E1BDD">
        <w:rPr>
          <w:b/>
          <w:i/>
          <w:color w:val="000000"/>
        </w:rPr>
        <w:t xml:space="preserve"> </w:t>
      </w:r>
      <w:r w:rsidR="00BA43EA">
        <w:rPr>
          <w:b/>
          <w:i/>
          <w:color w:val="000000"/>
        </w:rPr>
        <w:t>P</w:t>
      </w:r>
      <w:r w:rsidR="002E1BDD" w:rsidRPr="00E33AEE">
        <w:rPr>
          <w:b/>
          <w:i/>
          <w:color w:val="000000"/>
        </w:rPr>
        <w:t>očátek běhu záruční doby</w:t>
      </w:r>
      <w:r w:rsidR="00BA43EA">
        <w:rPr>
          <w:b/>
          <w:i/>
          <w:color w:val="000000"/>
        </w:rPr>
        <w:t xml:space="preserve"> Díla</w:t>
      </w:r>
      <w:r w:rsidR="002E1BDD" w:rsidRPr="00E33AEE">
        <w:rPr>
          <w:b/>
          <w:i/>
          <w:color w:val="000000"/>
        </w:rPr>
        <w:t xml:space="preserve"> </w:t>
      </w:r>
      <w:r w:rsidR="002E1BDD">
        <w:rPr>
          <w:b/>
          <w:i/>
          <w:color w:val="000000"/>
        </w:rPr>
        <w:t xml:space="preserve">v rozsahu FTV </w:t>
      </w:r>
      <w:r w:rsidR="002E1BDD" w:rsidRPr="00E33AEE">
        <w:rPr>
          <w:b/>
          <w:i/>
          <w:color w:val="000000"/>
        </w:rPr>
        <w:t xml:space="preserve">se počítá ode dne dokončení Díla </w:t>
      </w:r>
      <w:r w:rsidR="002E1BDD">
        <w:rPr>
          <w:b/>
          <w:i/>
          <w:color w:val="000000"/>
        </w:rPr>
        <w:t xml:space="preserve">v rozsahu FTV </w:t>
      </w:r>
      <w:r w:rsidR="002E1BDD" w:rsidRPr="00E33AEE">
        <w:rPr>
          <w:b/>
          <w:i/>
          <w:color w:val="000000"/>
        </w:rPr>
        <w:t>uvedeného v Protokolu o převzetí</w:t>
      </w:r>
      <w:r w:rsidR="002E1BDD">
        <w:rPr>
          <w:b/>
          <w:i/>
          <w:color w:val="000000"/>
        </w:rPr>
        <w:t xml:space="preserve"> FTV</w:t>
      </w:r>
      <w:r w:rsidR="00BA43EA">
        <w:rPr>
          <w:b/>
          <w:i/>
          <w:color w:val="000000"/>
        </w:rPr>
        <w:t>;</w:t>
      </w:r>
      <w:r w:rsidR="00BA43EA" w:rsidRPr="00BA43EA">
        <w:rPr>
          <w:b/>
          <w:i/>
          <w:color w:val="000000"/>
        </w:rPr>
        <w:t xml:space="preserve"> </w:t>
      </w:r>
      <w:r w:rsidR="00BA43EA">
        <w:rPr>
          <w:b/>
          <w:i/>
          <w:color w:val="000000"/>
        </w:rPr>
        <w:t>p</w:t>
      </w:r>
      <w:r w:rsidR="00BA43EA" w:rsidRPr="00E33AEE">
        <w:rPr>
          <w:b/>
          <w:i/>
          <w:color w:val="000000"/>
        </w:rPr>
        <w:t xml:space="preserve">očátek běhu záruční doby </w:t>
      </w:r>
      <w:r w:rsidR="00BA43EA">
        <w:rPr>
          <w:b/>
          <w:i/>
          <w:color w:val="000000"/>
        </w:rPr>
        <w:t xml:space="preserve">Díla (v rozsahu Díla vyjma FTV) </w:t>
      </w:r>
      <w:r w:rsidR="00BA43EA" w:rsidRPr="00E33AEE">
        <w:rPr>
          <w:b/>
          <w:i/>
          <w:color w:val="000000"/>
        </w:rPr>
        <w:t>se počítá ode dne dokončení Díla uvedeného v Protokolu o převzetí</w:t>
      </w:r>
      <w:r w:rsidRPr="00E33AEE">
        <w:rPr>
          <w:b/>
          <w:i/>
          <w:color w:val="000000"/>
        </w:rPr>
        <w:t>.</w:t>
      </w:r>
    </w:p>
    <w:p w14:paraId="68BD9F5E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20"/>
        <w:jc w:val="both"/>
        <w:rPr>
          <w:color w:val="000000"/>
        </w:rPr>
      </w:pPr>
    </w:p>
    <w:p w14:paraId="4D97C98A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b/>
          <w:color w:val="000000"/>
        </w:rPr>
      </w:pPr>
    </w:p>
    <w:p w14:paraId="531B9EA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Čl. III</w:t>
      </w:r>
      <w:r>
        <w:rPr>
          <w:b/>
          <w:color w:val="000000"/>
        </w:rPr>
        <w:tab/>
        <w:t>Závěrečná ustanovení</w:t>
      </w:r>
    </w:p>
    <w:p w14:paraId="65A25F9B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Smluvní strany prohlašují, že si tento Dodatek č. </w:t>
      </w:r>
      <w:r>
        <w:t>2</w:t>
      </w:r>
      <w:r>
        <w:rPr>
          <w:color w:val="000000"/>
        </w:rPr>
        <w:t xml:space="preserve"> před jeho podepsáním přečetly, že byl uzavřen po vzájemném projednání podle jejich pravé a svobodné vůle. </w:t>
      </w:r>
    </w:p>
    <w:p w14:paraId="213AAF94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14:paraId="636E7451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Ostatní ujednání původní Smlouvy o dílo zůstávají tímto Dodatkem č. </w:t>
      </w:r>
      <w:r w:rsidR="00A6288B">
        <w:rPr>
          <w:color w:val="000000"/>
        </w:rPr>
        <w:t>2</w:t>
      </w:r>
      <w:r>
        <w:rPr>
          <w:color w:val="000000"/>
        </w:rPr>
        <w:t xml:space="preserve"> nedotčené a beze změn.</w:t>
      </w:r>
    </w:p>
    <w:p w14:paraId="1F712011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je vyhotoven v elektronické podobě s připojenými elektronickými podpisy smluvních stran.</w:t>
      </w:r>
    </w:p>
    <w:p w14:paraId="51E80172" w14:textId="24A7763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Součástí tohoto Dodatku je změnový list č. </w:t>
      </w:r>
      <w:r>
        <w:t>2</w:t>
      </w:r>
      <w:r>
        <w:rPr>
          <w:color w:val="000000"/>
        </w:rPr>
        <w:t xml:space="preserve"> ze dne </w:t>
      </w:r>
      <w:r>
        <w:t>18</w:t>
      </w:r>
      <w:r>
        <w:rPr>
          <w:color w:val="000000"/>
        </w:rPr>
        <w:t>. </w:t>
      </w:r>
      <w:r>
        <w:t>10</w:t>
      </w:r>
      <w:r>
        <w:rPr>
          <w:color w:val="000000"/>
        </w:rPr>
        <w:t xml:space="preserve">. 2024, </w:t>
      </w:r>
      <w:r>
        <w:t xml:space="preserve">změnový list č. 3 ze dne </w:t>
      </w:r>
      <w:r w:rsidR="00A6288B" w:rsidRPr="00CE35FB">
        <w:t>2</w:t>
      </w:r>
      <w:r w:rsidR="001B46C4" w:rsidRPr="00CE35FB">
        <w:t>2</w:t>
      </w:r>
      <w:r w:rsidR="00A6288B" w:rsidRPr="00CE35FB">
        <w:t xml:space="preserve">. </w:t>
      </w:r>
      <w:r w:rsidRPr="00CE35FB">
        <w:t>11.</w:t>
      </w:r>
      <w:r>
        <w:t> 2024 a změnový list č. 4 ze dne 31.10. 2024</w:t>
      </w:r>
      <w:r>
        <w:rPr>
          <w:color w:val="000000"/>
        </w:rPr>
        <w:t>.</w:t>
      </w:r>
    </w:p>
    <w:p w14:paraId="4C8C4103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567" w:hanging="567"/>
        <w:jc w:val="both"/>
        <w:rPr>
          <w:color w:val="000000"/>
        </w:rPr>
      </w:pPr>
    </w:p>
    <w:tbl>
      <w:tblPr>
        <w:tblStyle w:val="a"/>
        <w:tblW w:w="974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F50E1A" w14:paraId="70949931" w14:textId="77777777">
        <w:trPr>
          <w:cantSplit/>
          <w:trHeight w:val="2160"/>
        </w:trPr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BA6FEAF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 Olomouci, datum viz elektronický podpis</w:t>
            </w:r>
          </w:p>
          <w:p w14:paraId="10855D50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759827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  <w:p w14:paraId="6FEE856A" w14:textId="3963A32B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3E778CF3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2C811537" w14:textId="496CD44B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F1912B1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F17B36C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7B4B2B45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0DC7EBC8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Národní památkový ústav</w:t>
            </w:r>
          </w:p>
          <w:p w14:paraId="49AD18EB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10A1D13B" w14:textId="77777777" w:rsidR="00F50E1A" w:rsidRDefault="009B7022" w:rsidP="00E578B8">
            <w:pPr>
              <w:keepNext/>
              <w:keepLines/>
              <w:widowControl w:val="0"/>
              <w:spacing w:after="40" w:line="240" w:lineRule="atLeast"/>
              <w:ind w:right="669"/>
              <w:rPr>
                <w:color w:val="000000"/>
              </w:rPr>
            </w:pPr>
            <w:r>
              <w:t xml:space="preserve">Mgr. František Chupík, Ph.D., ředitel územního odborného pracoviště v Olomouci     </w:t>
            </w:r>
          </w:p>
          <w:p w14:paraId="2AE4807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t xml:space="preserve">     </w:t>
            </w:r>
          </w:p>
        </w:tc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1B20A893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 Ostravě, datum viz elektronický podpis</w:t>
            </w:r>
          </w:p>
          <w:p w14:paraId="4EEFDF5A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358524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zhotovitel</w:t>
            </w:r>
          </w:p>
          <w:p w14:paraId="4E58DAFC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41D5DF0C" w14:textId="2FEEFB26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7E25BB8A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44DA9F9C" w14:textId="0B672870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0F870238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1229EBC2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6D461AE9" w14:textId="77777777" w:rsidR="00F50E1A" w:rsidRDefault="009B7022" w:rsidP="00E578B8">
            <w:pPr>
              <w:spacing w:after="40" w:line="240" w:lineRule="atLeast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KAMI PROFIT, s.r.o. jednající prostřednictvím </w:t>
            </w:r>
            <w:r>
              <w:t>KAMI PROFIT, s.r.o., odštěpný závod</w:t>
            </w:r>
          </w:p>
          <w:p w14:paraId="358347A5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Ing. Daniel Rimel</w:t>
            </w:r>
          </w:p>
          <w:p w14:paraId="0860471B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vedoucí odštěpného závodu</w:t>
            </w:r>
          </w:p>
        </w:tc>
      </w:tr>
    </w:tbl>
    <w:p w14:paraId="0FC5EA75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</w:p>
    <w:sectPr w:rsidR="00F50E1A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4059" w14:textId="77777777" w:rsidR="00016ED5" w:rsidRDefault="00016ED5">
      <w:pPr>
        <w:spacing w:after="0" w:line="240" w:lineRule="auto"/>
      </w:pPr>
      <w:r>
        <w:separator/>
      </w:r>
    </w:p>
  </w:endnote>
  <w:endnote w:type="continuationSeparator" w:id="0">
    <w:p w14:paraId="22B5C9C4" w14:textId="77777777" w:rsidR="00016ED5" w:rsidRDefault="0001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C109F" w14:textId="77777777" w:rsidR="00016ED5" w:rsidRDefault="00016ED5">
      <w:pPr>
        <w:spacing w:after="0" w:line="240" w:lineRule="auto"/>
      </w:pPr>
      <w:r>
        <w:separator/>
      </w:r>
    </w:p>
  </w:footnote>
  <w:footnote w:type="continuationSeparator" w:id="0">
    <w:p w14:paraId="329C76F8" w14:textId="77777777" w:rsidR="00016ED5" w:rsidRDefault="0001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B768" w14:textId="6832E34D" w:rsidR="00F50E1A" w:rsidRDefault="009B70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ab/>
    </w:r>
    <w:r>
      <w:rPr>
        <w:b/>
        <w:color w:val="000000"/>
      </w:rPr>
      <w:t>NPU-391/</w:t>
    </w:r>
    <w:r w:rsidR="0073723E">
      <w:rPr>
        <w:b/>
        <w:color w:val="000000"/>
      </w:rPr>
      <w:t>105866</w:t>
    </w:r>
    <w:r>
      <w:rPr>
        <w:b/>
        <w:color w:val="00000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7FA1"/>
    <w:multiLevelType w:val="multilevel"/>
    <w:tmpl w:val="43928A4A"/>
    <w:lvl w:ilvl="0">
      <w:start w:val="5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ind w:left="700" w:hanging="360"/>
      </w:pPr>
    </w:lvl>
    <w:lvl w:ilvl="2">
      <w:start w:val="1"/>
      <w:numFmt w:val="decimal"/>
      <w:lvlText w:val="%1.%2.%3."/>
      <w:lvlJc w:val="left"/>
      <w:pPr>
        <w:ind w:left="1400" w:hanging="720"/>
      </w:pPr>
    </w:lvl>
    <w:lvl w:ilvl="3">
      <w:start w:val="1"/>
      <w:numFmt w:val="decimal"/>
      <w:lvlText w:val="%1.%2.%3.%4."/>
      <w:lvlJc w:val="left"/>
      <w:pPr>
        <w:ind w:left="1740" w:hanging="72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2780" w:hanging="1080"/>
      </w:pPr>
    </w:lvl>
    <w:lvl w:ilvl="6">
      <w:start w:val="1"/>
      <w:numFmt w:val="decimal"/>
      <w:lvlText w:val="%1.%2.%3.%4.%5.%6.%7."/>
      <w:lvlJc w:val="left"/>
      <w:pPr>
        <w:ind w:left="3480" w:hanging="1440"/>
      </w:pPr>
    </w:lvl>
    <w:lvl w:ilvl="7">
      <w:start w:val="1"/>
      <w:numFmt w:val="decimal"/>
      <w:lvlText w:val="%1.%2.%3.%4.%5.%6.%7.%8."/>
      <w:lvlJc w:val="left"/>
      <w:pPr>
        <w:ind w:left="3820" w:hanging="1440"/>
      </w:pPr>
    </w:lvl>
    <w:lvl w:ilvl="8">
      <w:start w:val="1"/>
      <w:numFmt w:val="decimal"/>
      <w:lvlText w:val="%1.%2.%3.%4.%5.%6.%7.%8.%9."/>
      <w:lvlJc w:val="left"/>
      <w:pPr>
        <w:ind w:left="4520" w:hanging="1800"/>
      </w:pPr>
    </w:lvl>
  </w:abstractNum>
  <w:abstractNum w:abstractNumId="1" w15:restartNumberingAfterBreak="0">
    <w:nsid w:val="21F27FB6"/>
    <w:multiLevelType w:val="hybridMultilevel"/>
    <w:tmpl w:val="7F8EE6D0"/>
    <w:lvl w:ilvl="0" w:tplc="DF704884"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838462F"/>
    <w:multiLevelType w:val="multilevel"/>
    <w:tmpl w:val="9BD25A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/>
        <w:vertAlign w:val="baseli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532154F5"/>
    <w:multiLevelType w:val="multilevel"/>
    <w:tmpl w:val="261448E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ADB"/>
    <w:multiLevelType w:val="multilevel"/>
    <w:tmpl w:val="31F4C456"/>
    <w:lvl w:ilvl="0">
      <w:start w:val="7"/>
      <w:numFmt w:val="decimal"/>
      <w:lvlText w:val="%1"/>
      <w:lvlJc w:val="left"/>
      <w:pPr>
        <w:ind w:left="567" w:hanging="567"/>
      </w:pPr>
      <w:rPr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134" w:hanging="17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5A92615F"/>
    <w:multiLevelType w:val="multilevel"/>
    <w:tmpl w:val="7E089584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0913"/>
    <w:multiLevelType w:val="multilevel"/>
    <w:tmpl w:val="9836D580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1A"/>
    <w:rsid w:val="00016ED5"/>
    <w:rsid w:val="0005437E"/>
    <w:rsid w:val="00107493"/>
    <w:rsid w:val="001508F8"/>
    <w:rsid w:val="00176706"/>
    <w:rsid w:val="001B46C4"/>
    <w:rsid w:val="001F6712"/>
    <w:rsid w:val="002162D8"/>
    <w:rsid w:val="002745E6"/>
    <w:rsid w:val="002E1BDD"/>
    <w:rsid w:val="003E5264"/>
    <w:rsid w:val="004B5B94"/>
    <w:rsid w:val="004E6B81"/>
    <w:rsid w:val="005F0DD3"/>
    <w:rsid w:val="0062029C"/>
    <w:rsid w:val="006403AE"/>
    <w:rsid w:val="0073723E"/>
    <w:rsid w:val="008C646C"/>
    <w:rsid w:val="008D6EEE"/>
    <w:rsid w:val="008F335C"/>
    <w:rsid w:val="009038F0"/>
    <w:rsid w:val="0093680B"/>
    <w:rsid w:val="009B7022"/>
    <w:rsid w:val="00A6288B"/>
    <w:rsid w:val="00A832D0"/>
    <w:rsid w:val="00AA2339"/>
    <w:rsid w:val="00BA43EA"/>
    <w:rsid w:val="00BF1B05"/>
    <w:rsid w:val="00C64884"/>
    <w:rsid w:val="00CE35FB"/>
    <w:rsid w:val="00D250E8"/>
    <w:rsid w:val="00E20E06"/>
    <w:rsid w:val="00E33AEE"/>
    <w:rsid w:val="00E46B1B"/>
    <w:rsid w:val="00E578B8"/>
    <w:rsid w:val="00F50E1A"/>
    <w:rsid w:val="00F55335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50C3"/>
  <w15:docId w15:val="{5918A926-B955-4180-BC23-3145122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C55C93"/>
    <w:pPr>
      <w:spacing w:after="0" w:line="240" w:lineRule="auto"/>
    </w:pPr>
  </w:style>
  <w:style w:type="character" w:styleId="Siln">
    <w:name w:val="Strong"/>
    <w:basedOn w:val="Standardnpsmoodstavce"/>
    <w:uiPriority w:val="99"/>
    <w:qFormat/>
    <w:rsid w:val="00C55C9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C55C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Standardnpsmoodstavce"/>
    <w:rsid w:val="00C55C93"/>
  </w:style>
  <w:style w:type="character" w:styleId="Hypertextovodkaz">
    <w:name w:val="Hyperlink"/>
    <w:basedOn w:val="Standardnpsmoodstavce"/>
    <w:uiPriority w:val="99"/>
    <w:unhideWhenUsed/>
    <w:rsid w:val="00C55C93"/>
    <w:rPr>
      <w:color w:val="0563C1" w:themeColor="hyperlink"/>
      <w:u w:val="single"/>
    </w:rPr>
  </w:style>
  <w:style w:type="paragraph" w:customStyle="1" w:styleId="Odstavec1">
    <w:name w:val="Odstavec 1."/>
    <w:basedOn w:val="Normln"/>
    <w:uiPriority w:val="99"/>
    <w:rsid w:val="00DB3F89"/>
    <w:pPr>
      <w:keepNext/>
      <w:numPr>
        <w:numId w:val="2"/>
      </w:numPr>
      <w:spacing w:before="360" w:after="120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DB3F89"/>
    <w:pPr>
      <w:numPr>
        <w:ilvl w:val="1"/>
        <w:numId w:val="2"/>
      </w:numPr>
      <w:spacing w:before="120" w:after="120" w:line="240" w:lineRule="auto"/>
    </w:pPr>
    <w:rPr>
      <w:rFonts w:eastAsia="Times New Roman" w:cs="Times New Roman"/>
      <w:sz w:val="20"/>
      <w:szCs w:val="24"/>
    </w:rPr>
  </w:style>
  <w:style w:type="character" w:customStyle="1" w:styleId="platne1">
    <w:name w:val="platne1"/>
    <w:uiPriority w:val="99"/>
    <w:rsid w:val="00DB3F89"/>
  </w:style>
  <w:style w:type="paragraph" w:styleId="Textbubliny">
    <w:name w:val="Balloon Text"/>
    <w:basedOn w:val="Normln"/>
    <w:link w:val="TextbublinyChar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0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24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0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0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AAC"/>
  </w:style>
  <w:style w:type="paragraph" w:styleId="Zpat">
    <w:name w:val="footer"/>
    <w:basedOn w:val="Normln"/>
    <w:link w:val="Zpat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AAC"/>
  </w:style>
  <w:style w:type="paragraph" w:styleId="Odstavecseseznamem">
    <w:name w:val="List Paragraph"/>
    <w:basedOn w:val="Normln"/>
    <w:uiPriority w:val="99"/>
    <w:qFormat/>
    <w:rsid w:val="00314C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UXOrkNL6NH18O6o4nfkxwXjOw==">CgMxLjA4AHIhMURlT3hvLU9EUVpsc29kVDNjYzBvanNhQWxzd25aUzho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Mičková Petra</cp:lastModifiedBy>
  <cp:revision>2</cp:revision>
  <dcterms:created xsi:type="dcterms:W3CDTF">2024-12-11T11:38:00Z</dcterms:created>
  <dcterms:modified xsi:type="dcterms:W3CDTF">2024-12-11T11:38:00Z</dcterms:modified>
</cp:coreProperties>
</file>