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5220300596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/>
        <w:t>Město</w:t>
      </w:r>
      <w:r>
        <w:rPr>
          <w:spacing w:val="-7"/>
        </w:rPr>
        <w:t> </w:t>
      </w:r>
      <w:r>
        <w:rPr>
          <w:spacing w:val="-2"/>
        </w:rPr>
        <w:t>Touškov</w:t>
      </w:r>
    </w:p>
    <w:p>
      <w:pPr>
        <w:pStyle w:val="BodyText"/>
        <w:tabs>
          <w:tab w:pos="3262" w:val="left" w:leader="none"/>
        </w:tabs>
        <w:spacing w:before="1"/>
        <w:ind w:left="382" w:right="503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Město</w:t>
      </w:r>
      <w:r>
        <w:rPr>
          <w:spacing w:val="-5"/>
        </w:rPr>
        <w:t> </w:t>
      </w:r>
      <w:r>
        <w:rPr/>
        <w:t>Touškov,</w:t>
      </w:r>
      <w:r>
        <w:rPr>
          <w:spacing w:val="-2"/>
        </w:rPr>
        <w:t> </w:t>
      </w:r>
      <w:r>
        <w:rPr/>
        <w:t>Dolní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330</w:t>
      </w:r>
      <w:r>
        <w:rPr>
          <w:spacing w:val="-3"/>
        </w:rPr>
        <w:t> </w:t>
      </w:r>
      <w:r>
        <w:rPr/>
        <w:t>33</w:t>
      </w:r>
      <w:r>
        <w:rPr>
          <w:spacing w:val="-5"/>
        </w:rPr>
        <w:t> </w:t>
      </w:r>
      <w:r>
        <w:rPr/>
        <w:t>Město</w:t>
      </w:r>
      <w:r>
        <w:rPr>
          <w:spacing w:val="-5"/>
        </w:rPr>
        <w:t> </w:t>
      </w:r>
      <w:r>
        <w:rPr/>
        <w:t>Touškov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00258105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50"/>
        </w:rPr>
        <w:t> </w:t>
      </w:r>
      <w:r>
        <w:rPr/>
        <w:t>Kateřinou</w:t>
      </w:r>
      <w:r>
        <w:rPr>
          <w:spacing w:val="-2"/>
        </w:rPr>
        <w:t> </w:t>
      </w:r>
      <w:r>
        <w:rPr/>
        <w:t>D</w:t>
      </w:r>
      <w:r>
        <w:rPr>
          <w:spacing w:val="-4"/>
        </w:rPr>
        <w:t> </w:t>
      </w:r>
      <w:r>
        <w:rPr/>
        <w:t>u c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48926371/0710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5220300596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</w:pPr>
      <w:r>
        <w:rPr/>
        <w:t>touto</w:t>
      </w:r>
      <w:r>
        <w:rPr>
          <w:spacing w:val="-4"/>
        </w:rPr>
        <w:t> </w:t>
      </w:r>
      <w:r>
        <w:rPr/>
        <w:t>Směrnicí</w:t>
      </w:r>
      <w:r>
        <w:rPr>
          <w:spacing w:val="-6"/>
        </w:rPr>
        <w:t> </w:t>
      </w:r>
      <w:r>
        <w:rPr/>
        <w:t>MŽP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75" w:right="0"/>
        <w:jc w:val="left"/>
      </w:pPr>
      <w:r>
        <w:rPr/>
        <w:t>„Elektromobily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město</w:t>
      </w:r>
      <w:r>
        <w:rPr>
          <w:spacing w:val="-7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2"/>
        </w:rPr>
        <w:t>Touškov“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 v</w:t>
      </w:r>
      <w:r>
        <w:rPr>
          <w:spacing w:val="46"/>
        </w:rPr>
        <w:t> </w:t>
      </w:r>
      <w:r>
        <w:rPr/>
        <w:t>roce</w:t>
      </w:r>
      <w:r>
        <w:rPr>
          <w:spacing w:val="-5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990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devět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990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9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prohlašuje,</w:t>
      </w:r>
      <w:r>
        <w:rPr>
          <w:spacing w:val="11"/>
          <w:sz w:val="20"/>
        </w:rPr>
        <w:t> </w:t>
      </w:r>
      <w:r>
        <w:rPr>
          <w:w w:val="95"/>
          <w:sz w:val="20"/>
        </w:rPr>
        <w:t>že</w:t>
      </w:r>
      <w:r>
        <w:rPr>
          <w:spacing w:val="12"/>
          <w:sz w:val="20"/>
        </w:rPr>
        <w:t> </w:t>
      </w:r>
      <w:r>
        <w:rPr>
          <w:w w:val="95"/>
          <w:sz w:val="20"/>
        </w:rPr>
        <w:t>z</w:t>
      </w:r>
      <w:r>
        <w:rPr>
          <w:spacing w:val="30"/>
          <w:sz w:val="20"/>
        </w:rPr>
        <w:t> </w:t>
      </w:r>
      <w:r>
        <w:rPr>
          <w:w w:val="95"/>
          <w:sz w:val="20"/>
        </w:rPr>
        <w:t>vlastních</w:t>
      </w:r>
      <w:r>
        <w:rPr>
          <w:spacing w:val="11"/>
          <w:sz w:val="20"/>
        </w:rPr>
        <w:t> </w:t>
      </w:r>
      <w:r>
        <w:rPr>
          <w:w w:val="95"/>
          <w:sz w:val="20"/>
        </w:rPr>
        <w:t>zdrojů</w:t>
      </w:r>
      <w:r>
        <w:rPr>
          <w:spacing w:val="11"/>
          <w:sz w:val="20"/>
        </w:rPr>
        <w:t> </w:t>
      </w:r>
      <w:r>
        <w:rPr>
          <w:w w:val="95"/>
          <w:sz w:val="20"/>
        </w:rPr>
        <w:t>uhradil</w:t>
      </w:r>
      <w:r>
        <w:rPr>
          <w:spacing w:val="10"/>
          <w:sz w:val="20"/>
        </w:rPr>
        <w:t> </w:t>
      </w:r>
      <w:r>
        <w:rPr>
          <w:w w:val="95"/>
          <w:sz w:val="20"/>
        </w:rPr>
        <w:t>veškeré</w:t>
      </w:r>
      <w:r>
        <w:rPr>
          <w:spacing w:val="10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9"/>
          <w:sz w:val="20"/>
        </w:rPr>
        <w:t> </w:t>
      </w:r>
      <w:r>
        <w:rPr>
          <w:w w:val="95"/>
          <w:sz w:val="20"/>
        </w:rPr>
        <w:t>akce</w:t>
      </w:r>
      <w:r>
        <w:rPr>
          <w:spacing w:val="9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jc w:val="both"/>
      </w:pPr>
      <w:r>
        <w:rPr/>
        <w:t>podpory</w:t>
      </w:r>
      <w:r>
        <w:rPr>
          <w:spacing w:val="-7"/>
        </w:rPr>
        <w:t> </w:t>
      </w:r>
      <w:r>
        <w:rPr/>
        <w:t>včetně</w:t>
      </w:r>
      <w:r>
        <w:rPr>
          <w:spacing w:val="-7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připadajících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nezpůsobilé</w:t>
      </w:r>
      <w:r>
        <w:rPr>
          <w:spacing w:val="-7"/>
        </w:rPr>
        <w:t> </w:t>
      </w:r>
      <w:r>
        <w:rPr/>
        <w:t>výdaje</w:t>
      </w:r>
      <w:r>
        <w:rPr>
          <w:spacing w:val="-8"/>
        </w:rPr>
        <w:t> </w:t>
      </w:r>
      <w:r>
        <w:rPr>
          <w:spacing w:val="-2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Elektromobily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město</w:t>
      </w:r>
      <w:r>
        <w:rPr>
          <w:spacing w:val="-3"/>
          <w:sz w:val="20"/>
        </w:rPr>
        <w:t> </w:t>
      </w:r>
      <w:r>
        <w:rPr>
          <w:sz w:val="20"/>
        </w:rPr>
        <w:t>Město</w:t>
      </w:r>
      <w:r>
        <w:rPr>
          <w:spacing w:val="-3"/>
          <w:sz w:val="20"/>
        </w:rPr>
        <w:t> </w:t>
      </w:r>
      <w:r>
        <w:rPr>
          <w:sz w:val="20"/>
        </w:rPr>
        <w:t>Touškov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02.</w:t>
      </w:r>
      <w:r>
        <w:rPr>
          <w:spacing w:val="-5"/>
          <w:sz w:val="20"/>
        </w:rPr>
        <w:t> </w:t>
      </w:r>
      <w:r>
        <w:rPr>
          <w:sz w:val="20"/>
        </w:rPr>
        <w:t>09.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nových</w:t>
      </w:r>
      <w:r>
        <w:rPr>
          <w:spacing w:val="-4"/>
          <w:sz w:val="20"/>
        </w:rPr>
        <w:t> </w:t>
      </w:r>
      <w:r>
        <w:rPr>
          <w:sz w:val="20"/>
        </w:rPr>
        <w:t>vozidel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neveřejné</w:t>
      </w:r>
      <w:r>
        <w:rPr>
          <w:spacing w:val="-6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9"/>
          <w:sz w:val="20"/>
        </w:rPr>
        <w:t> </w:t>
      </w:r>
      <w:r>
        <w:rPr>
          <w:sz w:val="20"/>
        </w:rPr>
        <w:t>čerpat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stejné</w:t>
      </w:r>
      <w:r>
        <w:rPr>
          <w:spacing w:val="9"/>
          <w:sz w:val="20"/>
        </w:rPr>
        <w:t> </w:t>
      </w:r>
      <w:r>
        <w:rPr>
          <w:sz w:val="20"/>
        </w:rPr>
        <w:t>způsobilé</w:t>
      </w:r>
      <w:r>
        <w:rPr>
          <w:spacing w:val="9"/>
          <w:sz w:val="20"/>
        </w:rPr>
        <w:t> </w:t>
      </w:r>
      <w:r>
        <w:rPr>
          <w:sz w:val="20"/>
        </w:rPr>
        <w:t>výdaje</w:t>
      </w:r>
      <w:r>
        <w:rPr>
          <w:spacing w:val="9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jejich</w:t>
      </w:r>
      <w:r>
        <w:rPr>
          <w:spacing w:val="13"/>
          <w:sz w:val="20"/>
        </w:rPr>
        <w:t> </w:t>
      </w:r>
      <w:r>
        <w:rPr>
          <w:sz w:val="20"/>
        </w:rPr>
        <w:t>části</w:t>
      </w:r>
      <w:r>
        <w:rPr>
          <w:spacing w:val="10"/>
          <w:sz w:val="20"/>
        </w:rPr>
        <w:t> </w:t>
      </w:r>
      <w:r>
        <w:rPr>
          <w:sz w:val="20"/>
        </w:rPr>
        <w:t>jinou</w:t>
      </w:r>
      <w:r>
        <w:rPr>
          <w:spacing w:val="11"/>
          <w:sz w:val="20"/>
        </w:rPr>
        <w:t> </w:t>
      </w:r>
      <w:r>
        <w:rPr>
          <w:sz w:val="20"/>
        </w:rPr>
        <w:t>veřejnou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107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741" w:right="117"/>
        <w:jc w:val="both"/>
      </w:pPr>
      <w:r>
        <w:rPr/>
        <w:t>odst.</w:t>
      </w:r>
      <w:r>
        <w:rPr>
          <w:spacing w:val="-11"/>
        </w:rPr>
        <w:t> </w:t>
      </w:r>
      <w:r>
        <w:rPr/>
        <w:t>1</w:t>
      </w:r>
      <w:r>
        <w:rPr>
          <w:spacing w:val="-10"/>
        </w:rPr>
        <w:t> </w:t>
      </w:r>
      <w:r>
        <w:rPr/>
        <w:t>Smlouvy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fungování</w:t>
      </w:r>
      <w:r>
        <w:rPr>
          <w:spacing w:val="-11"/>
        </w:rPr>
        <w:t> </w:t>
      </w:r>
      <w:r>
        <w:rPr/>
        <w:t>Evropské</w:t>
      </w:r>
      <w:r>
        <w:rPr>
          <w:spacing w:val="-10"/>
        </w:rPr>
        <w:t> </w:t>
      </w:r>
      <w:r>
        <w:rPr/>
        <w:t>unie,</w:t>
      </w:r>
      <w:r>
        <w:rPr>
          <w:spacing w:val="-10"/>
        </w:rPr>
        <w:t> </w:t>
      </w:r>
      <w:r>
        <w:rPr/>
        <w:t>podporu</w:t>
      </w:r>
      <w:r>
        <w:rPr>
          <w:spacing w:val="-10"/>
        </w:rPr>
        <w:t> </w:t>
      </w:r>
      <w:r>
        <w:rPr/>
        <w:t>z</w:t>
      </w:r>
      <w:r>
        <w:rPr>
          <w:spacing w:val="-9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Unie,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centrálně</w:t>
      </w:r>
      <w:r>
        <w:rPr>
          <w:spacing w:val="-9"/>
        </w:rPr>
        <w:t> </w:t>
      </w:r>
      <w:r>
        <w:rPr/>
        <w:t>spravují</w:t>
      </w:r>
      <w:r>
        <w:rPr>
          <w:spacing w:val="-11"/>
        </w:rPr>
        <w:t> </w:t>
      </w:r>
      <w:r>
        <w:rPr/>
        <w:t>orgány, agentury,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podniky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jiné</w:t>
      </w:r>
      <w:r>
        <w:rPr>
          <w:spacing w:val="-5"/>
        </w:rPr>
        <w:t> </w:t>
      </w:r>
      <w:r>
        <w:rPr/>
        <w:t>subjekty</w:t>
      </w:r>
      <w:r>
        <w:rPr>
          <w:spacing w:val="-4"/>
        </w:rPr>
        <w:t> </w:t>
      </w:r>
      <w:r>
        <w:rPr/>
        <w:t>EU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která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přímo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nepřímo</w:t>
      </w:r>
      <w:r>
        <w:rPr>
          <w:spacing w:val="-3"/>
        </w:rPr>
        <w:t> </w:t>
      </w:r>
      <w:r>
        <w:rPr/>
        <w:t>pod</w:t>
      </w:r>
      <w:r>
        <w:rPr>
          <w:spacing w:val="-3"/>
        </w:rPr>
        <w:t> </w:t>
      </w:r>
      <w:r>
        <w:rPr/>
        <w:t>kontrolou</w:t>
      </w:r>
      <w:r>
        <w:rPr>
          <w:spacing w:val="-3"/>
        </w:rPr>
        <w:t> </w:t>
      </w:r>
      <w:r>
        <w:rPr/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9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-2"/>
          <w:sz w:val="20"/>
        </w:rPr>
        <w:t> </w:t>
      </w:r>
      <w:r>
        <w:rPr>
          <w:sz w:val="20"/>
        </w:rPr>
        <w:t>praní</w:t>
      </w:r>
      <w:r>
        <w:rPr>
          <w:spacing w:val="27"/>
          <w:sz w:val="20"/>
        </w:rPr>
        <w:t> </w:t>
      </w:r>
      <w:r>
        <w:rPr>
          <w:sz w:val="20"/>
        </w:rPr>
        <w:t>peněz</w:t>
      </w:r>
      <w:r>
        <w:rPr>
          <w:spacing w:val="29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financování</w:t>
      </w:r>
      <w:r>
        <w:rPr>
          <w:spacing w:val="28"/>
          <w:sz w:val="20"/>
        </w:rPr>
        <w:t> </w:t>
      </w:r>
      <w:r>
        <w:rPr>
          <w:sz w:val="20"/>
        </w:rPr>
        <w:t>terorismu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smyslu</w:t>
      </w:r>
      <w:r>
        <w:rPr>
          <w:spacing w:val="28"/>
          <w:sz w:val="20"/>
        </w:rPr>
        <w:t> </w:t>
      </w:r>
      <w:r>
        <w:rPr>
          <w:sz w:val="20"/>
        </w:rPr>
        <w:t>§</w:t>
      </w:r>
      <w:r>
        <w:rPr>
          <w:spacing w:val="28"/>
          <w:sz w:val="20"/>
        </w:rPr>
        <w:t> </w:t>
      </w:r>
      <w:r>
        <w:rPr>
          <w:sz w:val="20"/>
        </w:rPr>
        <w:t>4c</w:t>
      </w:r>
      <w:r>
        <w:rPr>
          <w:spacing w:val="30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159/2006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střetu</w:t>
      </w:r>
      <w:r>
        <w:rPr>
          <w:spacing w:val="28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93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662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2024-12-11T08:36:12Z</dcterms:created>
  <dcterms:modified xsi:type="dcterms:W3CDTF">2024-12-11T08:36:12Z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2024-12-11T00:00:00Z</vt:filetime>
  </property>
</Properties>
</file>