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52F4" w14:textId="70767741" w:rsidR="001C014E" w:rsidRPr="002F2136" w:rsidRDefault="00601A9C" w:rsidP="000400CC">
      <w:pPr>
        <w:spacing w:after="240" w:line="288" w:lineRule="auto"/>
        <w:jc w:val="center"/>
        <w:rPr>
          <w:rStyle w:val="Siln"/>
          <w:sz w:val="28"/>
          <w:szCs w:val="28"/>
        </w:rPr>
      </w:pPr>
      <w:r w:rsidRPr="002F2136">
        <w:rPr>
          <w:rStyle w:val="Siln"/>
          <w:sz w:val="28"/>
          <w:szCs w:val="28"/>
        </w:rPr>
        <w:t>LICENČNÍ SMLOUVA</w:t>
      </w:r>
    </w:p>
    <w:p w14:paraId="124507D3" w14:textId="77777777" w:rsidR="001C014E" w:rsidRPr="002F2136" w:rsidRDefault="00601A9C" w:rsidP="000400CC">
      <w:pPr>
        <w:spacing w:after="240" w:line="288" w:lineRule="auto"/>
        <w:rPr>
          <w:i/>
          <w:iCs/>
        </w:rPr>
      </w:pPr>
      <w:r w:rsidRPr="002F2136">
        <w:rPr>
          <w:i/>
          <w:iCs/>
        </w:rPr>
        <w:t xml:space="preserve">uzavřená níže uvedeného dne, měsíce a roku podle </w:t>
      </w:r>
      <w:proofErr w:type="spellStart"/>
      <w:r w:rsidRPr="002F2136">
        <w:rPr>
          <w:i/>
          <w:iCs/>
        </w:rPr>
        <w:t>ust</w:t>
      </w:r>
      <w:proofErr w:type="spellEnd"/>
      <w:r w:rsidRPr="002F2136">
        <w:rPr>
          <w:i/>
          <w:iCs/>
        </w:rPr>
        <w:t>. § 2358 a násl. zákona č. 89/2012 Sb., občanský zákoník (dále jen „</w:t>
      </w:r>
      <w:r w:rsidRPr="00BF3584">
        <w:rPr>
          <w:b/>
          <w:bCs/>
          <w:i/>
          <w:iCs/>
        </w:rPr>
        <w:t>smlouva</w:t>
      </w:r>
      <w:r w:rsidRPr="002F2136">
        <w:rPr>
          <w:i/>
          <w:iCs/>
        </w:rPr>
        <w:t>“) mezi těmito smluvními stranami</w:t>
      </w:r>
    </w:p>
    <w:p w14:paraId="7D49F16E" w14:textId="77777777" w:rsidR="001C014E" w:rsidRPr="002F2136" w:rsidRDefault="00601A9C" w:rsidP="000400CC">
      <w:pPr>
        <w:spacing w:line="288" w:lineRule="auto"/>
      </w:pPr>
      <w:r w:rsidRPr="002F2136">
        <w:t> </w:t>
      </w:r>
    </w:p>
    <w:p w14:paraId="4DFE8777" w14:textId="1D7C5D8B" w:rsidR="00ED5DCA" w:rsidRPr="002F2136" w:rsidRDefault="00ED5DCA" w:rsidP="000400CC">
      <w:pPr>
        <w:spacing w:line="288" w:lineRule="auto"/>
      </w:pPr>
      <w:r w:rsidRPr="002F2136">
        <w:rPr>
          <w:b/>
          <w:bCs/>
        </w:rPr>
        <w:t>Česká tisková kancelář</w:t>
      </w:r>
      <w:r w:rsidR="00601A9C" w:rsidRPr="002F2136">
        <w:rPr>
          <w:b/>
          <w:bCs/>
        </w:rPr>
        <w:br/>
      </w:r>
      <w:r w:rsidRPr="002F2136">
        <w:t>IČ: 471</w:t>
      </w:r>
      <w:r w:rsidR="00DC3A55">
        <w:t xml:space="preserve"> </w:t>
      </w:r>
      <w:r w:rsidRPr="002F2136">
        <w:t>15</w:t>
      </w:r>
      <w:r w:rsidR="00DC3A55">
        <w:t xml:space="preserve"> </w:t>
      </w:r>
      <w:r w:rsidRPr="002F2136">
        <w:t>068</w:t>
      </w:r>
      <w:r w:rsidR="00601A9C" w:rsidRPr="002F2136">
        <w:br/>
      </w:r>
      <w:r w:rsidRPr="002F2136">
        <w:t>se sídlem Opletalova 919/5, 110 00 Praha 1</w:t>
      </w:r>
    </w:p>
    <w:p w14:paraId="3A0316E3" w14:textId="725A1813" w:rsidR="00ED5DCA" w:rsidRPr="002F2136" w:rsidRDefault="00ED5DCA" w:rsidP="000400CC">
      <w:pPr>
        <w:spacing w:line="288" w:lineRule="auto"/>
      </w:pPr>
      <w:r w:rsidRPr="002F2136">
        <w:t>zapsaná v obchodním rejstříku vedeném Městským soudem v Praze, oddíl A, vložka 7583</w:t>
      </w:r>
    </w:p>
    <w:p w14:paraId="18C0099E" w14:textId="7C1BF13E" w:rsidR="001C014E" w:rsidRPr="002F2136" w:rsidRDefault="00ED5DCA" w:rsidP="000400CC">
      <w:pPr>
        <w:spacing w:line="288" w:lineRule="auto"/>
      </w:pPr>
      <w:r w:rsidRPr="002F2136">
        <w:t xml:space="preserve">bankovní spojení </w:t>
      </w:r>
      <w:proofErr w:type="spellStart"/>
      <w:r w:rsidRPr="002F2136">
        <w:t>UniCredit</w:t>
      </w:r>
      <w:proofErr w:type="spellEnd"/>
      <w:r w:rsidRPr="002F2136">
        <w:t xml:space="preserve"> Bank, </w:t>
      </w:r>
      <w:proofErr w:type="spellStart"/>
      <w:r w:rsidRPr="002F2136">
        <w:t>č.ú</w:t>
      </w:r>
      <w:proofErr w:type="spellEnd"/>
      <w:r w:rsidRPr="002F2136">
        <w:t xml:space="preserve">. </w:t>
      </w:r>
      <w:r w:rsidR="00113584">
        <w:t>xxxxxxxxxxxxx</w:t>
      </w:r>
      <w:r w:rsidR="00601A9C" w:rsidRPr="002F2136">
        <w:br/>
      </w:r>
      <w:r w:rsidRPr="003D3794">
        <w:t xml:space="preserve">zastoupená </w:t>
      </w:r>
      <w:r w:rsidR="003D3794">
        <w:t xml:space="preserve">Petr </w:t>
      </w:r>
      <w:proofErr w:type="spellStart"/>
      <w:r w:rsidR="003D3794">
        <w:t>Mlch</w:t>
      </w:r>
      <w:proofErr w:type="spellEnd"/>
      <w:r w:rsidR="003D3794">
        <w:t>, šéfredaktor</w:t>
      </w:r>
    </w:p>
    <w:p w14:paraId="1A3DA13B" w14:textId="77777777" w:rsidR="001C014E" w:rsidRPr="002F2136" w:rsidRDefault="00601A9C" w:rsidP="000400CC">
      <w:pPr>
        <w:spacing w:after="240" w:line="288" w:lineRule="auto"/>
      </w:pPr>
      <w:r w:rsidRPr="002F2136">
        <w:t>(dále jen jako „</w:t>
      </w:r>
      <w:r w:rsidRPr="00BF3584">
        <w:rPr>
          <w:b/>
          <w:bCs/>
        </w:rPr>
        <w:t>poskytovatel</w:t>
      </w:r>
      <w:r w:rsidRPr="002F2136">
        <w:t>“)</w:t>
      </w:r>
    </w:p>
    <w:p w14:paraId="495F1C11" w14:textId="77777777" w:rsidR="001C014E" w:rsidRPr="002F2136" w:rsidRDefault="00601A9C" w:rsidP="000400CC">
      <w:pPr>
        <w:spacing w:after="240" w:line="288" w:lineRule="auto"/>
      </w:pPr>
      <w:r w:rsidRPr="002F2136">
        <w:t>a</w:t>
      </w:r>
    </w:p>
    <w:p w14:paraId="60C48487" w14:textId="4AA1332A" w:rsidR="001C014E" w:rsidRPr="002F2136" w:rsidRDefault="00AA270E" w:rsidP="000400CC">
      <w:pPr>
        <w:spacing w:line="288" w:lineRule="auto"/>
      </w:pPr>
      <w:r w:rsidRPr="00D83B42">
        <w:rPr>
          <w:b/>
          <w:bCs/>
        </w:rPr>
        <w:t>Ministerstvo práce a sociálních věcí</w:t>
      </w:r>
      <w:r w:rsidR="00601A9C" w:rsidRPr="00D83B42">
        <w:rPr>
          <w:b/>
          <w:bCs/>
        </w:rPr>
        <w:t xml:space="preserve"> </w:t>
      </w:r>
      <w:r w:rsidR="00601A9C" w:rsidRPr="00D83B42">
        <w:rPr>
          <w:b/>
          <w:bCs/>
        </w:rPr>
        <w:br/>
      </w:r>
      <w:r w:rsidRPr="002F2136">
        <w:t>IČ: 005</w:t>
      </w:r>
      <w:r w:rsidR="00DC3A55">
        <w:t xml:space="preserve"> </w:t>
      </w:r>
      <w:r w:rsidRPr="002F2136">
        <w:t>51</w:t>
      </w:r>
      <w:r w:rsidR="00DC3A55">
        <w:t xml:space="preserve"> </w:t>
      </w:r>
      <w:r w:rsidRPr="002F2136">
        <w:t>023</w:t>
      </w:r>
      <w:r w:rsidR="00601A9C" w:rsidRPr="002F2136">
        <w:br/>
      </w:r>
      <w:r w:rsidRPr="002F2136">
        <w:t>se sídlem Na Poříčním právu 1/376, 12800 Praha 2</w:t>
      </w:r>
      <w:r w:rsidR="00601A9C" w:rsidRPr="002F2136">
        <w:br/>
      </w:r>
      <w:r w:rsidRPr="002F2136">
        <w:t xml:space="preserve">bankovní spojení Česká národní banka, </w:t>
      </w:r>
      <w:proofErr w:type="spellStart"/>
      <w:r w:rsidRPr="002F2136">
        <w:t>č.ú</w:t>
      </w:r>
      <w:proofErr w:type="spellEnd"/>
      <w:r w:rsidRPr="002F2136">
        <w:t>. 19-2229001/0710</w:t>
      </w:r>
    </w:p>
    <w:p w14:paraId="558C91B4" w14:textId="711153F4" w:rsidR="00AC46DE" w:rsidRPr="002F2136" w:rsidRDefault="00AA270E" w:rsidP="000400CC">
      <w:pPr>
        <w:spacing w:line="288" w:lineRule="auto"/>
      </w:pPr>
      <w:r w:rsidRPr="003D3794">
        <w:t xml:space="preserve">zastoupené </w:t>
      </w:r>
      <w:r w:rsidR="003D3794">
        <w:t>Kateřina Procházková, ředitelka odboru komunikace</w:t>
      </w:r>
    </w:p>
    <w:p w14:paraId="03BAD142" w14:textId="5AC1BD6B" w:rsidR="001C014E" w:rsidRPr="002F2136" w:rsidRDefault="00601A9C" w:rsidP="000400CC">
      <w:pPr>
        <w:spacing w:after="480" w:line="288" w:lineRule="auto"/>
      </w:pPr>
      <w:r w:rsidRPr="002F2136">
        <w:t>(dále jen jako „</w:t>
      </w:r>
      <w:r w:rsidRPr="00BF3584">
        <w:rPr>
          <w:b/>
          <w:bCs/>
        </w:rPr>
        <w:t>nabyvatel</w:t>
      </w:r>
      <w:r w:rsidRPr="002F2136">
        <w:t>“) </w:t>
      </w:r>
    </w:p>
    <w:p w14:paraId="30FA917E" w14:textId="1FF968AC" w:rsidR="001C014E" w:rsidRPr="002F2136" w:rsidRDefault="00601A9C" w:rsidP="000400CC">
      <w:pPr>
        <w:pStyle w:val="Nadpis1"/>
        <w:spacing w:line="288" w:lineRule="auto"/>
      </w:pPr>
      <w:r w:rsidRPr="002F2136">
        <w:t>Úvodní ustanovení</w:t>
      </w:r>
    </w:p>
    <w:p w14:paraId="7E16C00C" w14:textId="1D25291C" w:rsidR="002F2136" w:rsidRDefault="00AE4345" w:rsidP="000400CC">
      <w:pPr>
        <w:pStyle w:val="Odstavecseseznamem"/>
        <w:spacing w:line="288" w:lineRule="auto"/>
      </w:pPr>
      <w:r w:rsidRPr="002F2136">
        <w:t xml:space="preserve">Poskytovatel prohlašuje, že </w:t>
      </w:r>
      <w:r w:rsidR="00AC46DE" w:rsidRPr="002F2136">
        <w:t xml:space="preserve">je </w:t>
      </w:r>
      <w:r w:rsidR="00BF3584">
        <w:t xml:space="preserve">držitelem práv k </w:t>
      </w:r>
      <w:r w:rsidR="00AC46DE" w:rsidRPr="002F2136">
        <w:t>fotografií</w:t>
      </w:r>
      <w:r w:rsidR="00BF3584">
        <w:t>m</w:t>
      </w:r>
      <w:r w:rsidR="00AC46DE" w:rsidRPr="002F2136">
        <w:t>, jejichž zobrazení tvoří přílohu č. 1 této smlouvy a je její nedílnou součástí (dále jen „</w:t>
      </w:r>
      <w:r w:rsidR="00AC46DE" w:rsidRPr="00BF3584">
        <w:rPr>
          <w:b/>
          <w:bCs/>
        </w:rPr>
        <w:t>dílo</w:t>
      </w:r>
      <w:r w:rsidR="00AC46DE" w:rsidRPr="002F2136">
        <w:t xml:space="preserve">“), </w:t>
      </w:r>
      <w:r w:rsidR="00DC3A55">
        <w:t xml:space="preserve">a má právo dílo </w:t>
      </w:r>
      <w:r w:rsidR="00AC46DE" w:rsidRPr="002F2136">
        <w:t>užít a udělit nabyvateli oprávnění k výkonu práva dílo užít v souladu s podmínkami této smlouvy.</w:t>
      </w:r>
    </w:p>
    <w:p w14:paraId="0AE8222F" w14:textId="05E35A95" w:rsidR="005C2FFF" w:rsidRPr="002F2136" w:rsidRDefault="00AC46DE" w:rsidP="000400CC">
      <w:pPr>
        <w:pStyle w:val="Odstavecseseznamem"/>
        <w:spacing w:line="288" w:lineRule="auto"/>
      </w:pPr>
      <w:r w:rsidRPr="002F2136">
        <w:t>Smluvní strany uzavírají tuto smlouvu, aby upravily vzájemná práva a povinnosti týkající se licence k</w:t>
      </w:r>
      <w:r w:rsidR="005C2FFF" w:rsidRPr="002F2136">
        <w:t> </w:t>
      </w:r>
      <w:r w:rsidRPr="002F2136">
        <w:t>dílu</w:t>
      </w:r>
      <w:r w:rsidR="005C2FFF" w:rsidRPr="002F2136">
        <w:t>.</w:t>
      </w:r>
    </w:p>
    <w:p w14:paraId="5EE73E1D" w14:textId="21A3D7DE" w:rsidR="001C014E" w:rsidRPr="002F2136" w:rsidRDefault="00601A9C" w:rsidP="000400CC">
      <w:pPr>
        <w:pStyle w:val="Nadpis1"/>
        <w:spacing w:line="288" w:lineRule="auto"/>
      </w:pPr>
      <w:bookmarkStart w:id="0" w:name="_Ref179104587"/>
      <w:r w:rsidRPr="002F2136">
        <w:t>Předmět smlouvy</w:t>
      </w:r>
      <w:bookmarkEnd w:id="0"/>
    </w:p>
    <w:p w14:paraId="6846D272" w14:textId="0D4B1797" w:rsidR="001C014E" w:rsidRPr="002F2136" w:rsidRDefault="00601A9C" w:rsidP="000400CC">
      <w:pPr>
        <w:pStyle w:val="Odstavecseseznamem"/>
        <w:numPr>
          <w:ilvl w:val="0"/>
          <w:numId w:val="23"/>
        </w:numPr>
        <w:spacing w:line="288" w:lineRule="auto"/>
      </w:pPr>
      <w:r w:rsidRPr="002F2136">
        <w:t xml:space="preserve">Poskytovatel touto smlouvou poskytuje nabyvateli licenci, tj. oprávnění užít </w:t>
      </w:r>
      <w:r w:rsidR="005C2FFF" w:rsidRPr="002F2136">
        <w:t>d</w:t>
      </w:r>
      <w:r w:rsidRPr="002F2136">
        <w:t xml:space="preserve">ílo za odměnu a </w:t>
      </w:r>
      <w:r w:rsidR="00BF3584">
        <w:t xml:space="preserve">za </w:t>
      </w:r>
      <w:r w:rsidRPr="002F2136">
        <w:t>podmínek dále v této smlouvě stanovených (dále jen „</w:t>
      </w:r>
      <w:r w:rsidRPr="000400CC">
        <w:rPr>
          <w:b/>
          <w:bCs/>
        </w:rPr>
        <w:t>licence</w:t>
      </w:r>
      <w:r w:rsidRPr="002F2136">
        <w:t xml:space="preserve">“). Právem užít </w:t>
      </w:r>
      <w:r w:rsidR="005C2FFF" w:rsidRPr="002F2136">
        <w:t>d</w:t>
      </w:r>
      <w:r w:rsidRPr="002F2136">
        <w:t xml:space="preserve">ílo ve smyslu této smlouvy se rozumí </w:t>
      </w:r>
      <w:r w:rsidR="00AE4345" w:rsidRPr="002F2136">
        <w:t>užití předmětných fotografií</w:t>
      </w:r>
      <w:r w:rsidR="00254933" w:rsidRPr="002F2136">
        <w:t xml:space="preserve"> za podmínek uvedených v čl.</w:t>
      </w:r>
      <w:r w:rsidR="00DC3A55">
        <w:t> </w:t>
      </w:r>
      <w:r w:rsidR="00254933" w:rsidRPr="002F2136">
        <w:t>I</w:t>
      </w:r>
      <w:r w:rsidR="00DC3A55">
        <w:t>V</w:t>
      </w:r>
      <w:r w:rsidR="00254933" w:rsidRPr="002F2136">
        <w:t xml:space="preserve"> této smlouvy.</w:t>
      </w:r>
      <w:r w:rsidR="00AE4345" w:rsidRPr="002F2136">
        <w:t xml:space="preserve"> </w:t>
      </w:r>
    </w:p>
    <w:p w14:paraId="55095883" w14:textId="3C722B4C" w:rsidR="005C2FFF" w:rsidRPr="002F2136" w:rsidRDefault="00601A9C" w:rsidP="000400CC">
      <w:pPr>
        <w:pStyle w:val="Odstavecseseznamem"/>
        <w:spacing w:line="288" w:lineRule="auto"/>
      </w:pPr>
      <w:bookmarkStart w:id="1" w:name="_Ref179104589"/>
      <w:r w:rsidRPr="002F2136">
        <w:t xml:space="preserve">Nabyvatel se za nabytí </w:t>
      </w:r>
      <w:r w:rsidR="00BF3584">
        <w:t xml:space="preserve">licence </w:t>
      </w:r>
      <w:r w:rsidRPr="002F2136">
        <w:t xml:space="preserve">zavazuje zaplatit poskytovateli </w:t>
      </w:r>
      <w:r w:rsidR="005C2FFF" w:rsidRPr="002F2136">
        <w:t>částku</w:t>
      </w:r>
      <w:r w:rsidRPr="002F2136">
        <w:t xml:space="preserve"> ve </w:t>
      </w:r>
      <w:r w:rsidRPr="003D3794">
        <w:t xml:space="preserve">výši </w:t>
      </w:r>
      <w:r w:rsidR="003D3794" w:rsidRPr="003D3794">
        <w:t>50 700</w:t>
      </w:r>
      <w:r w:rsidRPr="003D3794">
        <w:t xml:space="preserve"> Kč</w:t>
      </w:r>
      <w:r w:rsidR="005A320F" w:rsidRPr="003D3794">
        <w:t xml:space="preserve"> </w:t>
      </w:r>
      <w:r w:rsidR="003D3794" w:rsidRPr="003D3794">
        <w:t>bez</w:t>
      </w:r>
      <w:r w:rsidR="005A320F" w:rsidRPr="003D3794">
        <w:t xml:space="preserve"> DPH</w:t>
      </w:r>
      <w:r w:rsidRPr="002F2136">
        <w:t xml:space="preserve">, která </w:t>
      </w:r>
      <w:r w:rsidR="005C2FFF" w:rsidRPr="002F2136">
        <w:t>bude uhrazena na základě Poskytovatelem vystavené faktury, a to se splatností 30 dní. Poskytovatel vystaví fakturu do 7 dní od předání díla.</w:t>
      </w:r>
      <w:r w:rsidR="001A1EA7">
        <w:t xml:space="preserve"> </w:t>
      </w:r>
      <w:bookmarkEnd w:id="1"/>
    </w:p>
    <w:p w14:paraId="2D77397D" w14:textId="55133C66" w:rsidR="005C2FFF" w:rsidRPr="002F2136" w:rsidRDefault="005C2FFF" w:rsidP="000400CC">
      <w:pPr>
        <w:pStyle w:val="Nadpis1"/>
        <w:spacing w:line="288" w:lineRule="auto"/>
      </w:pPr>
      <w:bookmarkStart w:id="2" w:name="_Ref179104455"/>
      <w:r w:rsidRPr="002F2136">
        <w:lastRenderedPageBreak/>
        <w:t>Předání díla</w:t>
      </w:r>
      <w:bookmarkEnd w:id="2"/>
    </w:p>
    <w:p w14:paraId="64A2FB52" w14:textId="6BA69151" w:rsidR="005C2FFF" w:rsidRPr="002F2136" w:rsidRDefault="005C2FFF" w:rsidP="000400CC">
      <w:pPr>
        <w:pStyle w:val="Odstavecseseznamem"/>
        <w:numPr>
          <w:ilvl w:val="0"/>
          <w:numId w:val="24"/>
        </w:numPr>
        <w:spacing w:line="288" w:lineRule="auto"/>
      </w:pPr>
      <w:r w:rsidRPr="002F2136">
        <w:t>Poskytovatel se zavazuje předat dílo nabyvateli elektronicky nebo na hmotném nosiči dat a nabyvatel se zavazuje jej převzít.</w:t>
      </w:r>
      <w:r w:rsidR="000C7F1F" w:rsidRPr="002F2136">
        <w:t xml:space="preserve"> Poskytovatel dílo poskytne ve vysokém rozlišení</w:t>
      </w:r>
      <w:r w:rsidR="005A320F">
        <w:t>, minimálně 600 DPI</w:t>
      </w:r>
      <w:r w:rsidR="000C7F1F" w:rsidRPr="002F2136">
        <w:t>.</w:t>
      </w:r>
    </w:p>
    <w:p w14:paraId="682FA084" w14:textId="583D208F" w:rsidR="005C2FFF" w:rsidRPr="002F2136" w:rsidRDefault="005C2FFF" w:rsidP="000400CC">
      <w:pPr>
        <w:pStyle w:val="Odstavecseseznamem"/>
        <w:spacing w:line="288" w:lineRule="auto"/>
      </w:pPr>
      <w:r w:rsidRPr="002F2136">
        <w:t>Předání se uskuteční</w:t>
      </w:r>
      <w:r w:rsidR="000C7F1F" w:rsidRPr="002F2136">
        <w:t xml:space="preserve"> nejpozději do 3 dnů od uzavření této smlouvy.</w:t>
      </w:r>
    </w:p>
    <w:p w14:paraId="42D22233" w14:textId="615C6397" w:rsidR="001C014E" w:rsidRPr="002F2136" w:rsidRDefault="000C7F1F" w:rsidP="000400CC">
      <w:pPr>
        <w:pStyle w:val="Nadpis1"/>
        <w:spacing w:line="288" w:lineRule="auto"/>
      </w:pPr>
      <w:r w:rsidRPr="002F2136">
        <w:t>Podmínky licence</w:t>
      </w:r>
    </w:p>
    <w:p w14:paraId="23C0BBB0" w14:textId="479FE1D7" w:rsidR="000C7F1F" w:rsidRPr="002F2136" w:rsidRDefault="00601148" w:rsidP="000400CC">
      <w:pPr>
        <w:pStyle w:val="Odstavecseseznamem"/>
        <w:numPr>
          <w:ilvl w:val="0"/>
          <w:numId w:val="25"/>
        </w:numPr>
        <w:spacing w:line="288" w:lineRule="auto"/>
      </w:pPr>
      <w:bookmarkStart w:id="3" w:name="_Ref179104133"/>
      <w:r w:rsidRPr="002F2136">
        <w:t>Poskytovatel tímto poskytuje</w:t>
      </w:r>
      <w:r w:rsidR="000C7F1F" w:rsidRPr="002F2136">
        <w:t xml:space="preserve"> nabyvateli </w:t>
      </w:r>
      <w:r w:rsidR="00AD6610">
        <w:t xml:space="preserve">licenci </w:t>
      </w:r>
      <w:r w:rsidR="000C7F1F" w:rsidRPr="002F2136">
        <w:t>pro účely akcí spojených se 100. výročím přijetí zákona o sociálním pojištění a se 35. výročím vzniku České správy sociálního zabezpečení, a to v tomto rozsahu:</w:t>
      </w:r>
      <w:bookmarkEnd w:id="3"/>
    </w:p>
    <w:p w14:paraId="4E87CD7D" w14:textId="2DA4A1A7" w:rsidR="00601148" w:rsidRPr="002F2136" w:rsidRDefault="00601148" w:rsidP="000400CC">
      <w:pPr>
        <w:pStyle w:val="Odstavecseseznamem"/>
        <w:numPr>
          <w:ilvl w:val="1"/>
          <w:numId w:val="20"/>
        </w:numPr>
        <w:spacing w:line="288" w:lineRule="auto"/>
      </w:pPr>
      <w:r w:rsidRPr="002F2136">
        <w:t>na panelech putovní výstavy Č</w:t>
      </w:r>
      <w:r w:rsidR="000C7F1F" w:rsidRPr="002F2136">
        <w:t>eské správy sociálního zabezpečení</w:t>
      </w:r>
      <w:r w:rsidRPr="002F2136">
        <w:t>, která bude probíhat na 6 místech Č</w:t>
      </w:r>
      <w:r w:rsidR="00254933" w:rsidRPr="002F2136">
        <w:t>eské republiky</w:t>
      </w:r>
      <w:r w:rsidR="000C7F1F" w:rsidRPr="002F2136">
        <w:t>,</w:t>
      </w:r>
      <w:r w:rsidRPr="002F2136">
        <w:t xml:space="preserve"> a to vždy </w:t>
      </w:r>
      <w:r w:rsidR="000C7F1F" w:rsidRPr="002F2136">
        <w:t>po</w:t>
      </w:r>
      <w:r w:rsidRPr="002F2136">
        <w:t xml:space="preserve"> dobu dvou měsíců. Včetně instalací a reinstalací se jedná o období od 15. října 2024 do 31. </w:t>
      </w:r>
      <w:r w:rsidR="000C7F1F" w:rsidRPr="002F2136">
        <w:t>listopadu</w:t>
      </w:r>
      <w:r w:rsidRPr="002F2136">
        <w:t xml:space="preserve"> 2025</w:t>
      </w:r>
      <w:r w:rsidR="000C7F1F" w:rsidRPr="002F2136">
        <w:t>,</w:t>
      </w:r>
    </w:p>
    <w:p w14:paraId="4AE315BE" w14:textId="394EF05E" w:rsidR="00601148" w:rsidRDefault="00601148" w:rsidP="000400CC">
      <w:pPr>
        <w:pStyle w:val="Odstavecseseznamem"/>
        <w:numPr>
          <w:ilvl w:val="1"/>
          <w:numId w:val="20"/>
        </w:numPr>
        <w:spacing w:line="288" w:lineRule="auto"/>
      </w:pPr>
      <w:r w:rsidRPr="002F2136">
        <w:t xml:space="preserve">na microsite webových stránek umístěných na adrese </w:t>
      </w:r>
      <w:hyperlink r:id="rId8" w:history="1">
        <w:r w:rsidR="000C7F1F" w:rsidRPr="002F2136">
          <w:rPr>
            <w:rStyle w:val="Hypertextovodkaz"/>
          </w:rPr>
          <w:t>www.cssz.cz</w:t>
        </w:r>
      </w:hyperlink>
      <w:r w:rsidRPr="002F2136">
        <w:t>, kde budou materiály volně dostupné veřejnosti i po skončení připomínkových akcí</w:t>
      </w:r>
      <w:r w:rsidR="003D3794">
        <w:t>,</w:t>
      </w:r>
    </w:p>
    <w:p w14:paraId="6006BD54" w14:textId="24681C8B" w:rsidR="003D3794" w:rsidRPr="002F2136" w:rsidRDefault="003D3794" w:rsidP="000400CC">
      <w:pPr>
        <w:pStyle w:val="Odstavecseseznamem"/>
        <w:numPr>
          <w:ilvl w:val="1"/>
          <w:numId w:val="20"/>
        </w:numPr>
        <w:spacing w:line="288" w:lineRule="auto"/>
      </w:pPr>
      <w:r>
        <w:t>na</w:t>
      </w:r>
      <w:r w:rsidRPr="003D3794">
        <w:t xml:space="preserve"> sociálních sítí (nikoliv samostatně, ale v kontextu na publikaci již publikovaných fotografií na webových stránkách)</w:t>
      </w:r>
      <w:r>
        <w:t>.</w:t>
      </w:r>
    </w:p>
    <w:p w14:paraId="47CA792F" w14:textId="353763A1" w:rsidR="00AD6610" w:rsidRDefault="00AD6610" w:rsidP="000400CC">
      <w:pPr>
        <w:pStyle w:val="Odstavecseseznamem"/>
        <w:spacing w:line="288" w:lineRule="auto"/>
      </w:pPr>
      <w:r>
        <w:t xml:space="preserve">Licence udělená nabyvateli je nevýhradní a v rozsahu microsite webových stránek umístěných na adrese </w:t>
      </w:r>
      <w:hyperlink r:id="rId9" w:history="1">
        <w:r w:rsidRPr="0028770B">
          <w:rPr>
            <w:rStyle w:val="Hypertextovodkaz"/>
          </w:rPr>
          <w:t>www.cssz.cz</w:t>
        </w:r>
      </w:hyperlink>
      <w:r>
        <w:t xml:space="preserve"> je poskytována na dobu trvání majetkových práv autora k předmětným dílům.</w:t>
      </w:r>
      <w:r w:rsidR="00A647FA">
        <w:t xml:space="preserve"> Licence je poskytována pro území České republiky a bez množstevního omezení (tj. </w:t>
      </w:r>
      <w:r w:rsidR="00F56C46">
        <w:t>pro</w:t>
      </w:r>
      <w:r w:rsidR="00A647FA">
        <w:t> libovoln</w:t>
      </w:r>
      <w:r w:rsidR="00F56C46">
        <w:t>ý</w:t>
      </w:r>
      <w:r w:rsidR="00A647FA">
        <w:t xml:space="preserve"> poč</w:t>
      </w:r>
      <w:r w:rsidR="00F56C46">
        <w:t>et</w:t>
      </w:r>
      <w:r w:rsidR="00A647FA">
        <w:t xml:space="preserve"> kopií děl).</w:t>
      </w:r>
    </w:p>
    <w:p w14:paraId="4E829F86" w14:textId="7F5D4606" w:rsidR="007A7C27" w:rsidRDefault="007A7C27" w:rsidP="000400CC">
      <w:pPr>
        <w:pStyle w:val="Odstavecseseznamem"/>
        <w:spacing w:line="288" w:lineRule="auto"/>
      </w:pPr>
      <w:r>
        <w:t xml:space="preserve">Licence je udělena od okamžiku předání díla dle čl. </w:t>
      </w:r>
      <w:r>
        <w:fldChar w:fldCharType="begin"/>
      </w:r>
      <w:r>
        <w:instrText xml:space="preserve"> REF _Ref179104455 \r \h </w:instrText>
      </w:r>
      <w:r>
        <w:fldChar w:fldCharType="separate"/>
      </w:r>
      <w:r>
        <w:t>III</w:t>
      </w:r>
      <w:r>
        <w:fldChar w:fldCharType="end"/>
      </w:r>
      <w:r>
        <w:t>. smlouvy.</w:t>
      </w:r>
    </w:p>
    <w:p w14:paraId="72EE7BF0" w14:textId="59E0A07F" w:rsidR="00601148" w:rsidRPr="002F2136" w:rsidRDefault="00601148" w:rsidP="000400CC">
      <w:pPr>
        <w:pStyle w:val="Odstavecseseznamem"/>
        <w:spacing w:line="288" w:lineRule="auto"/>
      </w:pPr>
      <w:r w:rsidRPr="002F2136">
        <w:t xml:space="preserve">Nabyvatel se zavazuje při každém užití </w:t>
      </w:r>
      <w:r w:rsidR="000C7F1F" w:rsidRPr="002F2136">
        <w:t>d</w:t>
      </w:r>
      <w:r w:rsidR="00254933" w:rsidRPr="002F2136">
        <w:t>íla uvést</w:t>
      </w:r>
      <w:r w:rsidRPr="002F2136">
        <w:t xml:space="preserve"> oznámení o nositeli práv k</w:t>
      </w:r>
      <w:r w:rsidR="007A7C27">
        <w:t> </w:t>
      </w:r>
      <w:r w:rsidR="000C7F1F" w:rsidRPr="002F2136">
        <w:t>d</w:t>
      </w:r>
      <w:r w:rsidR="00254933" w:rsidRPr="002F2136">
        <w:t>ílu</w:t>
      </w:r>
      <w:r w:rsidR="007A7C27">
        <w:t>, alespoň zmínkou „Zdroj: ČTK“</w:t>
      </w:r>
      <w:r w:rsidR="00254933" w:rsidRPr="002F2136">
        <w:t>.</w:t>
      </w:r>
    </w:p>
    <w:p w14:paraId="4215A4F7" w14:textId="27F867F2" w:rsidR="00601148" w:rsidRDefault="00601148" w:rsidP="000400CC">
      <w:pPr>
        <w:pStyle w:val="Odstavecseseznamem"/>
        <w:spacing w:line="288" w:lineRule="auto"/>
      </w:pPr>
      <w:r w:rsidRPr="002F2136">
        <w:t xml:space="preserve">Nabyvatel není oprávněn poskytnout žádnou </w:t>
      </w:r>
      <w:r w:rsidR="00535445" w:rsidRPr="002F2136">
        <w:t>část</w:t>
      </w:r>
      <w:r w:rsidR="00254933" w:rsidRPr="002F2136">
        <w:t xml:space="preserve"> </w:t>
      </w:r>
      <w:r w:rsidR="000C7F1F" w:rsidRPr="002F2136">
        <w:t>d</w:t>
      </w:r>
      <w:r w:rsidR="00254933" w:rsidRPr="002F2136">
        <w:t xml:space="preserve">íla </w:t>
      </w:r>
      <w:r w:rsidRPr="002F2136">
        <w:t xml:space="preserve">třetí osobě ani není oprávněn udělit třetí osobě jakékoli oprávnění k užití </w:t>
      </w:r>
      <w:r w:rsidR="00254933" w:rsidRPr="002F2136">
        <w:t xml:space="preserve">celku ani části </w:t>
      </w:r>
      <w:r w:rsidR="000C7F1F" w:rsidRPr="002F2136">
        <w:t>d</w:t>
      </w:r>
      <w:r w:rsidR="00254933" w:rsidRPr="002F2136">
        <w:t>íla</w:t>
      </w:r>
      <w:r w:rsidRPr="002F2136">
        <w:t xml:space="preserve">. Nabyvatel není oprávněn postoupit práva z této smlouvy na třetí osobu </w:t>
      </w:r>
      <w:r w:rsidR="007A7C27">
        <w:t xml:space="preserve">nebo poskytnout třetí osobě podlicenci </w:t>
      </w:r>
      <w:r w:rsidRPr="002F2136">
        <w:t xml:space="preserve">bez souhlasu </w:t>
      </w:r>
      <w:r w:rsidR="000C7F1F" w:rsidRPr="002F2136">
        <w:t>p</w:t>
      </w:r>
      <w:r w:rsidRPr="002F2136">
        <w:t>oskytovatele.</w:t>
      </w:r>
    </w:p>
    <w:p w14:paraId="5380653E" w14:textId="15244FEB" w:rsidR="001A1EA7" w:rsidRPr="002F2136" w:rsidRDefault="001A1EA7" w:rsidP="000400CC">
      <w:pPr>
        <w:pStyle w:val="Odstavecseseznamem"/>
        <w:spacing w:line="288" w:lineRule="auto"/>
      </w:pPr>
      <w:r>
        <w:t>Smluvní strany uvádějí, že sjednání licenční odměny ve formě pevné částky dle čl.</w:t>
      </w:r>
      <w:r w:rsidR="000400CC">
        <w:t> </w:t>
      </w:r>
      <w:r>
        <w:fldChar w:fldCharType="begin"/>
      </w:r>
      <w:r>
        <w:instrText xml:space="preserve"> REF _Ref179104587 \r \h </w:instrText>
      </w:r>
      <w:r>
        <w:fldChar w:fldCharType="separate"/>
      </w:r>
      <w:r>
        <w:t>II</w:t>
      </w:r>
      <w:r>
        <w:fldChar w:fldCharType="end"/>
      </w:r>
      <w:r>
        <w:t>.</w:t>
      </w:r>
      <w:r w:rsidR="000400CC">
        <w:t> odst. </w:t>
      </w:r>
      <w:r>
        <w:fldChar w:fldCharType="begin"/>
      </w:r>
      <w:r>
        <w:instrText xml:space="preserve"> REF _Ref179104589 \r \h </w:instrText>
      </w:r>
      <w:r>
        <w:fldChar w:fldCharType="separate"/>
      </w:r>
      <w:r w:rsidR="00984103">
        <w:t>2</w:t>
      </w:r>
      <w:r>
        <w:fldChar w:fldCharType="end"/>
      </w:r>
      <w:r>
        <w:t>. smlouvy považují</w:t>
      </w:r>
      <w:r w:rsidR="006144C2">
        <w:t xml:space="preserve"> ve smyslu § 2374 odst. 1 občanského zákoníku</w:t>
      </w:r>
      <w:r>
        <w:t xml:space="preserve"> za běžné a typické</w:t>
      </w:r>
      <w:r w:rsidR="006144C2">
        <w:t xml:space="preserve"> pro oblast odpovídající předmětu smlouvy, tj. poskytnutí licence k </w:t>
      </w:r>
      <w:r w:rsidR="006144C2" w:rsidRPr="000400CC">
        <w:t>vystavování a dalšímu užití archivních fotografií.</w:t>
      </w:r>
    </w:p>
    <w:p w14:paraId="41EC9CD2" w14:textId="2A8FD120" w:rsidR="001C014E" w:rsidRPr="002F2136" w:rsidRDefault="00601A9C" w:rsidP="000400CC">
      <w:pPr>
        <w:pStyle w:val="Nadpis1"/>
        <w:spacing w:line="288" w:lineRule="auto"/>
      </w:pPr>
      <w:r w:rsidRPr="002F2136">
        <w:t>Závěrečná ustanovení</w:t>
      </w:r>
    </w:p>
    <w:p w14:paraId="2D48FE6E" w14:textId="6B75D413" w:rsidR="001C014E" w:rsidRPr="002F2136" w:rsidRDefault="00601A9C" w:rsidP="000400CC">
      <w:pPr>
        <w:pStyle w:val="Odstavecseseznamem"/>
        <w:numPr>
          <w:ilvl w:val="0"/>
          <w:numId w:val="26"/>
        </w:numPr>
        <w:spacing w:line="288" w:lineRule="auto"/>
      </w:pPr>
      <w:r w:rsidRPr="002F2136">
        <w:t>Tato smlouva nabývá platnosti a účinnosti dnem jejího podpisu oběma smluvními stranami</w:t>
      </w:r>
      <w:r w:rsidR="006144C2">
        <w:t xml:space="preserve"> a je uzavřena na dobu trvání licence</w:t>
      </w:r>
      <w:r w:rsidRPr="002F2136">
        <w:t>.</w:t>
      </w:r>
      <w:r w:rsidR="00747919">
        <w:t xml:space="preserve"> </w:t>
      </w:r>
    </w:p>
    <w:p w14:paraId="64558924" w14:textId="77777777" w:rsidR="001C014E" w:rsidRPr="002F2136" w:rsidRDefault="00601A9C" w:rsidP="000400CC">
      <w:pPr>
        <w:pStyle w:val="Odstavecseseznamem"/>
        <w:spacing w:line="288" w:lineRule="auto"/>
      </w:pPr>
      <w:r w:rsidRPr="002F2136">
        <w:t>Tato smlouva, jakož i práva a povinnosti vzniklé na základě této smlouvy nebo v souvislosti sní se řídí právním řádem České republiky, zejména občanským zákoníkem a autorským zákonem v platném znění.</w:t>
      </w:r>
    </w:p>
    <w:p w14:paraId="407B1959" w14:textId="77777777" w:rsidR="001C014E" w:rsidRPr="002F2136" w:rsidRDefault="00601A9C" w:rsidP="000400CC">
      <w:pPr>
        <w:pStyle w:val="Odstavecseseznamem"/>
        <w:spacing w:line="288" w:lineRule="auto"/>
      </w:pPr>
      <w:r w:rsidRPr="002F2136">
        <w:lastRenderedPageBreak/>
        <w:t>Smluvní strany se zavazují, že pokud se kterékoli ustanovení této smlouvy nebo s ní související ujednání či jakákoli její část ukáží být neplatnými či se neplatnými stanou, neovlivní tato skutečnost platnost smlouvy jako takové. V takovém případě se strany zavazují nahradit neplatné ustanovení ustanovením platným, které se svým účelem nejvíce podobá neplatnému ustanovení.</w:t>
      </w:r>
    </w:p>
    <w:p w14:paraId="4D883B0E" w14:textId="77777777" w:rsidR="001C014E" w:rsidRPr="002F2136" w:rsidRDefault="00601A9C" w:rsidP="000400CC">
      <w:pPr>
        <w:pStyle w:val="Odstavecseseznamem"/>
        <w:spacing w:line="288" w:lineRule="auto"/>
      </w:pPr>
      <w:r w:rsidRPr="002F2136">
        <w:t>Tato smlouva je vyhotovena ve dvou (2) stejnopisech, každý s platností originálu, z nichž každá smluvní strana obdrží po jednom (1) vyhotovení.</w:t>
      </w:r>
    </w:p>
    <w:p w14:paraId="7E4E6C1D" w14:textId="77777777" w:rsidR="001C014E" w:rsidRPr="002F2136" w:rsidRDefault="00601A9C" w:rsidP="000400CC">
      <w:pPr>
        <w:pStyle w:val="Odstavecseseznamem"/>
        <w:spacing w:line="288" w:lineRule="auto"/>
      </w:pPr>
      <w:r w:rsidRPr="002F2136">
        <w:t>Tuto smlouvu lze doplňovat nebo měnit pouze písemnými, číslovanými dodatky, podepsanými oběma smluvními stranami.</w:t>
      </w:r>
    </w:p>
    <w:p w14:paraId="2196812F" w14:textId="77777777" w:rsidR="001C014E" w:rsidRPr="002F2136" w:rsidRDefault="00601A9C" w:rsidP="000400CC">
      <w:pPr>
        <w:pStyle w:val="Odstavecseseznamem"/>
        <w:spacing w:line="288" w:lineRule="auto"/>
      </w:pPr>
      <w:r w:rsidRPr="002F2136">
        <w:t>Smluvní strany prohlašují, že tuto smlouvu uzavřely ze své pravé, svobodné a vážně míněné vůle, nikoliv v tísni nebo za jinak nápadně nevýhodných podmínek. Dále smluvní strany prohlašují, že si tuto smlouvu před jejím uzavřením pročetly, jejímu obsahu zcela porozuměly a bezvýhradně s ním souhlasí a na důkaz toho k ní připojují své vlastnoruční podpisy.</w:t>
      </w:r>
    </w:p>
    <w:p w14:paraId="25E6AA3D" w14:textId="220000A1" w:rsidR="001C014E" w:rsidRPr="002F2136" w:rsidRDefault="00601A9C" w:rsidP="000400CC">
      <w:pPr>
        <w:pStyle w:val="Odstavecseseznamem"/>
        <w:spacing w:line="288" w:lineRule="auto"/>
      </w:pPr>
      <w:r w:rsidRPr="002F2136">
        <w:t xml:space="preserve">Nedílnou součástí této smlouvy tvoří příloha č. 1 – </w:t>
      </w:r>
      <w:r w:rsidR="00200F04" w:rsidRPr="002F2136">
        <w:t>Seznam fotografií a jejich specifikace</w:t>
      </w:r>
      <w:r w:rsidR="002F2136" w:rsidRPr="002F2136">
        <w:t>.</w:t>
      </w:r>
    </w:p>
    <w:p w14:paraId="1D1DA88D" w14:textId="77777777" w:rsidR="001C014E" w:rsidRPr="002F2136" w:rsidRDefault="00601A9C" w:rsidP="000400CC">
      <w:pPr>
        <w:spacing w:line="288" w:lineRule="auto"/>
      </w:pPr>
      <w:r w:rsidRPr="002F2136">
        <w:t> </w:t>
      </w:r>
    </w:p>
    <w:p w14:paraId="15D7DA27" w14:textId="2E6D344B" w:rsidR="001C014E" w:rsidRPr="002F2136" w:rsidRDefault="00601A9C" w:rsidP="000400CC">
      <w:pPr>
        <w:spacing w:line="288" w:lineRule="auto"/>
      </w:pPr>
      <w:r w:rsidRPr="002F2136">
        <w:t>V</w:t>
      </w:r>
      <w:r w:rsidR="00200F04" w:rsidRPr="002F2136">
        <w:t xml:space="preserve"> Praze </w:t>
      </w:r>
      <w:r w:rsidRPr="002F2136">
        <w:t xml:space="preserve">dne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2F2136" w:rsidRPr="002F2136" w14:paraId="58EEBE32" w14:textId="77777777" w:rsidTr="002F2136">
        <w:trPr>
          <w:trHeight w:val="964"/>
        </w:trPr>
        <w:tc>
          <w:tcPr>
            <w:tcW w:w="4531" w:type="dxa"/>
            <w:vAlign w:val="bottom"/>
          </w:tcPr>
          <w:p w14:paraId="2348340A" w14:textId="5C377390" w:rsidR="002F2136" w:rsidRPr="002F2136" w:rsidRDefault="00601A9C" w:rsidP="000400CC">
            <w:pPr>
              <w:pStyle w:val="Normlnweb"/>
              <w:spacing w:line="288" w:lineRule="auto"/>
            </w:pPr>
            <w:r>
              <w:t> </w:t>
            </w:r>
            <w:r w:rsidR="002F2136" w:rsidRPr="002F2136">
              <w:t>…………………………………</w:t>
            </w:r>
          </w:p>
        </w:tc>
        <w:tc>
          <w:tcPr>
            <w:tcW w:w="4531" w:type="dxa"/>
            <w:vAlign w:val="bottom"/>
          </w:tcPr>
          <w:p w14:paraId="2401177C" w14:textId="2D069AF8" w:rsidR="002F2136" w:rsidRPr="002F2136" w:rsidRDefault="002F2136" w:rsidP="000400CC">
            <w:pPr>
              <w:pStyle w:val="Normlnweb"/>
              <w:spacing w:line="288" w:lineRule="auto"/>
            </w:pPr>
            <w:r w:rsidRPr="002F2136">
              <w:t>……………………………</w:t>
            </w:r>
            <w:r>
              <w:t>………….</w:t>
            </w:r>
          </w:p>
        </w:tc>
      </w:tr>
      <w:tr w:rsidR="002F2136" w:rsidRPr="002F2136" w14:paraId="2828A567" w14:textId="77777777" w:rsidTr="002F2136">
        <w:trPr>
          <w:trHeight w:val="680"/>
        </w:trPr>
        <w:tc>
          <w:tcPr>
            <w:tcW w:w="4531" w:type="dxa"/>
            <w:vAlign w:val="bottom"/>
          </w:tcPr>
          <w:p w14:paraId="5A036F4F" w14:textId="56593B98" w:rsidR="002F2136" w:rsidRPr="002F2136" w:rsidRDefault="002F2136" w:rsidP="000400CC">
            <w:pPr>
              <w:pStyle w:val="Normlnweb"/>
              <w:spacing w:line="288" w:lineRule="auto"/>
            </w:pPr>
            <w:r w:rsidRPr="002F2136">
              <w:rPr>
                <w:rStyle w:val="Siln"/>
              </w:rPr>
              <w:t>Česká tisková kancelář</w:t>
            </w:r>
            <w:r w:rsidRPr="002F2136">
              <w:br/>
              <w:t xml:space="preserve">zastoupená </w:t>
            </w:r>
            <w:r>
              <w:t>……………..</w:t>
            </w:r>
          </w:p>
        </w:tc>
        <w:tc>
          <w:tcPr>
            <w:tcW w:w="4531" w:type="dxa"/>
            <w:vAlign w:val="bottom"/>
          </w:tcPr>
          <w:p w14:paraId="50D22029" w14:textId="686C268C" w:rsidR="002F2136" w:rsidRPr="002F2136" w:rsidRDefault="002F2136" w:rsidP="000400CC">
            <w:pPr>
              <w:pStyle w:val="Normlnweb"/>
              <w:spacing w:line="288" w:lineRule="auto"/>
            </w:pPr>
            <w:r w:rsidRPr="002F2136">
              <w:rPr>
                <w:b/>
                <w:bCs/>
              </w:rPr>
              <w:t>Ministerstvo práce a sociálních věcí</w:t>
            </w:r>
            <w:r w:rsidRPr="002F2136">
              <w:rPr>
                <w:b/>
                <w:bCs/>
              </w:rPr>
              <w:br/>
            </w:r>
            <w:r w:rsidRPr="002F2136">
              <w:t>zastoupeno…………………..</w:t>
            </w:r>
          </w:p>
        </w:tc>
      </w:tr>
    </w:tbl>
    <w:p w14:paraId="598DC3D8" w14:textId="5DBAC2E7" w:rsidR="00601A9C" w:rsidRPr="00D83B42" w:rsidRDefault="00601A9C" w:rsidP="000400CC">
      <w:pPr>
        <w:spacing w:after="240" w:line="288" w:lineRule="auto"/>
        <w:rPr>
          <w:rFonts w:eastAsia="Times New Roman"/>
        </w:rPr>
      </w:pPr>
      <w:r>
        <w:rPr>
          <w:rFonts w:eastAsia="Times New Roman"/>
        </w:rPr>
        <w:br/>
      </w:r>
    </w:p>
    <w:sectPr w:rsidR="00601A9C" w:rsidRPr="00D83B4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59878" w14:textId="77777777" w:rsidR="00134290" w:rsidRDefault="00134290" w:rsidP="002F2136">
      <w:r>
        <w:separator/>
      </w:r>
    </w:p>
  </w:endnote>
  <w:endnote w:type="continuationSeparator" w:id="0">
    <w:p w14:paraId="125BAF87" w14:textId="77777777" w:rsidR="00134290" w:rsidRDefault="00134290" w:rsidP="002F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8847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954B6B" w14:textId="030B882B" w:rsidR="00D83B42" w:rsidRDefault="00D83B42">
            <w:pPr>
              <w:pStyle w:val="Zpat"/>
              <w:jc w:val="right"/>
            </w:pPr>
            <w:r w:rsidRPr="00D83B42">
              <w:rPr>
                <w:sz w:val="22"/>
                <w:szCs w:val="22"/>
              </w:rPr>
              <w:t xml:space="preserve">Stránka </w:t>
            </w:r>
            <w:r w:rsidRPr="00D83B42">
              <w:rPr>
                <w:sz w:val="22"/>
                <w:szCs w:val="22"/>
              </w:rPr>
              <w:fldChar w:fldCharType="begin"/>
            </w:r>
            <w:r w:rsidRPr="00D83B42">
              <w:rPr>
                <w:sz w:val="22"/>
                <w:szCs w:val="22"/>
              </w:rPr>
              <w:instrText>PAGE</w:instrText>
            </w:r>
            <w:r w:rsidRPr="00D83B42">
              <w:rPr>
                <w:sz w:val="22"/>
                <w:szCs w:val="22"/>
              </w:rPr>
              <w:fldChar w:fldCharType="separate"/>
            </w:r>
            <w:r w:rsidRPr="00D83B42">
              <w:rPr>
                <w:sz w:val="22"/>
                <w:szCs w:val="22"/>
              </w:rPr>
              <w:t>2</w:t>
            </w:r>
            <w:r w:rsidRPr="00D83B42">
              <w:rPr>
                <w:sz w:val="22"/>
                <w:szCs w:val="22"/>
              </w:rPr>
              <w:fldChar w:fldCharType="end"/>
            </w:r>
            <w:r w:rsidRPr="00D83B42">
              <w:rPr>
                <w:sz w:val="22"/>
                <w:szCs w:val="22"/>
              </w:rPr>
              <w:t xml:space="preserve"> z </w:t>
            </w:r>
            <w:r w:rsidRPr="00D83B42">
              <w:rPr>
                <w:sz w:val="22"/>
                <w:szCs w:val="22"/>
              </w:rPr>
              <w:fldChar w:fldCharType="begin"/>
            </w:r>
            <w:r w:rsidRPr="00D83B42">
              <w:rPr>
                <w:sz w:val="22"/>
                <w:szCs w:val="22"/>
              </w:rPr>
              <w:instrText>NUMPAGES</w:instrText>
            </w:r>
            <w:r w:rsidRPr="00D83B42">
              <w:rPr>
                <w:sz w:val="22"/>
                <w:szCs w:val="22"/>
              </w:rPr>
              <w:fldChar w:fldCharType="separate"/>
            </w:r>
            <w:r w:rsidRPr="00D83B42">
              <w:rPr>
                <w:sz w:val="22"/>
                <w:szCs w:val="22"/>
              </w:rPr>
              <w:t>2</w:t>
            </w:r>
            <w:r w:rsidRPr="00D83B42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14:paraId="2BFF8C9E" w14:textId="77777777" w:rsidR="00D83B42" w:rsidRDefault="00D83B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BEBB4" w14:textId="77777777" w:rsidR="00134290" w:rsidRDefault="00134290" w:rsidP="002F2136">
      <w:r>
        <w:separator/>
      </w:r>
    </w:p>
  </w:footnote>
  <w:footnote w:type="continuationSeparator" w:id="0">
    <w:p w14:paraId="6790B71D" w14:textId="77777777" w:rsidR="00134290" w:rsidRDefault="00134290" w:rsidP="002F2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094"/>
    <w:multiLevelType w:val="multilevel"/>
    <w:tmpl w:val="D17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74E02"/>
    <w:multiLevelType w:val="multilevel"/>
    <w:tmpl w:val="20B669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D535A3"/>
    <w:multiLevelType w:val="multilevel"/>
    <w:tmpl w:val="FC48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75395"/>
    <w:multiLevelType w:val="multilevel"/>
    <w:tmpl w:val="76562B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3F139A"/>
    <w:multiLevelType w:val="hybridMultilevel"/>
    <w:tmpl w:val="6952DE7C"/>
    <w:lvl w:ilvl="0" w:tplc="B49405E4">
      <w:start w:val="1"/>
      <w:numFmt w:val="lowerLetter"/>
      <w:lvlText w:val="%1)"/>
      <w:lvlJc w:val="left"/>
      <w:pPr>
        <w:ind w:left="824" w:hanging="348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5A5CD9E8">
      <w:numFmt w:val="bullet"/>
      <w:lvlText w:val="•"/>
      <w:lvlJc w:val="left"/>
      <w:pPr>
        <w:ind w:left="1668" w:hanging="348"/>
      </w:pPr>
      <w:rPr>
        <w:rFonts w:hint="default"/>
        <w:lang w:val="cs-CZ" w:eastAsia="en-US" w:bidi="ar-SA"/>
      </w:rPr>
    </w:lvl>
    <w:lvl w:ilvl="2" w:tplc="59BE5DEA">
      <w:numFmt w:val="bullet"/>
      <w:lvlText w:val="•"/>
      <w:lvlJc w:val="left"/>
      <w:pPr>
        <w:ind w:left="2517" w:hanging="348"/>
      </w:pPr>
      <w:rPr>
        <w:rFonts w:hint="default"/>
        <w:lang w:val="cs-CZ" w:eastAsia="en-US" w:bidi="ar-SA"/>
      </w:rPr>
    </w:lvl>
    <w:lvl w:ilvl="3" w:tplc="470E4184">
      <w:numFmt w:val="bullet"/>
      <w:lvlText w:val="•"/>
      <w:lvlJc w:val="left"/>
      <w:pPr>
        <w:ind w:left="3365" w:hanging="348"/>
      </w:pPr>
      <w:rPr>
        <w:rFonts w:hint="default"/>
        <w:lang w:val="cs-CZ" w:eastAsia="en-US" w:bidi="ar-SA"/>
      </w:rPr>
    </w:lvl>
    <w:lvl w:ilvl="4" w:tplc="BBE499DC">
      <w:numFmt w:val="bullet"/>
      <w:lvlText w:val="•"/>
      <w:lvlJc w:val="left"/>
      <w:pPr>
        <w:ind w:left="4214" w:hanging="348"/>
      </w:pPr>
      <w:rPr>
        <w:rFonts w:hint="default"/>
        <w:lang w:val="cs-CZ" w:eastAsia="en-US" w:bidi="ar-SA"/>
      </w:rPr>
    </w:lvl>
    <w:lvl w:ilvl="5" w:tplc="0D2A5550">
      <w:numFmt w:val="bullet"/>
      <w:lvlText w:val="•"/>
      <w:lvlJc w:val="left"/>
      <w:pPr>
        <w:ind w:left="5063" w:hanging="348"/>
      </w:pPr>
      <w:rPr>
        <w:rFonts w:hint="default"/>
        <w:lang w:val="cs-CZ" w:eastAsia="en-US" w:bidi="ar-SA"/>
      </w:rPr>
    </w:lvl>
    <w:lvl w:ilvl="6" w:tplc="359CF87E">
      <w:numFmt w:val="bullet"/>
      <w:lvlText w:val="•"/>
      <w:lvlJc w:val="left"/>
      <w:pPr>
        <w:ind w:left="5911" w:hanging="348"/>
      </w:pPr>
      <w:rPr>
        <w:rFonts w:hint="default"/>
        <w:lang w:val="cs-CZ" w:eastAsia="en-US" w:bidi="ar-SA"/>
      </w:rPr>
    </w:lvl>
    <w:lvl w:ilvl="7" w:tplc="B756E882">
      <w:numFmt w:val="bullet"/>
      <w:lvlText w:val="•"/>
      <w:lvlJc w:val="left"/>
      <w:pPr>
        <w:ind w:left="6760" w:hanging="348"/>
      </w:pPr>
      <w:rPr>
        <w:rFonts w:hint="default"/>
        <w:lang w:val="cs-CZ" w:eastAsia="en-US" w:bidi="ar-SA"/>
      </w:rPr>
    </w:lvl>
    <w:lvl w:ilvl="8" w:tplc="5E0091D8">
      <w:numFmt w:val="bullet"/>
      <w:lvlText w:val="•"/>
      <w:lvlJc w:val="left"/>
      <w:pPr>
        <w:ind w:left="7609" w:hanging="348"/>
      </w:pPr>
      <w:rPr>
        <w:rFonts w:hint="default"/>
        <w:lang w:val="cs-CZ" w:eastAsia="en-US" w:bidi="ar-SA"/>
      </w:rPr>
    </w:lvl>
  </w:abstractNum>
  <w:abstractNum w:abstractNumId="5" w15:restartNumberingAfterBreak="0">
    <w:nsid w:val="36906230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5A55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E50610"/>
    <w:multiLevelType w:val="multilevel"/>
    <w:tmpl w:val="95F2E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34432A"/>
    <w:multiLevelType w:val="multilevel"/>
    <w:tmpl w:val="DA66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E191A"/>
    <w:multiLevelType w:val="multilevel"/>
    <w:tmpl w:val="7E28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E264D"/>
    <w:multiLevelType w:val="multilevel"/>
    <w:tmpl w:val="456C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AF11EE"/>
    <w:multiLevelType w:val="multilevel"/>
    <w:tmpl w:val="927AF81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2D2FF8"/>
    <w:multiLevelType w:val="multilevel"/>
    <w:tmpl w:val="DAEC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B61177"/>
    <w:multiLevelType w:val="hybridMultilevel"/>
    <w:tmpl w:val="67C2DE7A"/>
    <w:lvl w:ilvl="0" w:tplc="7BDE5FDE">
      <w:start w:val="1"/>
      <w:numFmt w:val="decimal"/>
      <w:lvlText w:val="%1."/>
      <w:lvlJc w:val="left"/>
      <w:pPr>
        <w:ind w:left="476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20B077CE">
      <w:numFmt w:val="bullet"/>
      <w:lvlText w:val="•"/>
      <w:lvlJc w:val="left"/>
      <w:pPr>
        <w:ind w:left="700" w:hanging="360"/>
      </w:pPr>
      <w:rPr>
        <w:rFonts w:hint="default"/>
        <w:lang w:val="cs-CZ" w:eastAsia="en-US" w:bidi="ar-SA"/>
      </w:rPr>
    </w:lvl>
    <w:lvl w:ilvl="2" w:tplc="A4E2F6B4">
      <w:numFmt w:val="bullet"/>
      <w:lvlText w:val="•"/>
      <w:lvlJc w:val="left"/>
      <w:pPr>
        <w:ind w:left="4380" w:hanging="360"/>
      </w:pPr>
      <w:rPr>
        <w:rFonts w:hint="default"/>
        <w:lang w:val="cs-CZ" w:eastAsia="en-US" w:bidi="ar-SA"/>
      </w:rPr>
    </w:lvl>
    <w:lvl w:ilvl="3" w:tplc="FEA0FDC4">
      <w:numFmt w:val="bullet"/>
      <w:lvlText w:val="•"/>
      <w:lvlJc w:val="left"/>
      <w:pPr>
        <w:ind w:left="4995" w:hanging="360"/>
      </w:pPr>
      <w:rPr>
        <w:rFonts w:hint="default"/>
        <w:lang w:val="cs-CZ" w:eastAsia="en-US" w:bidi="ar-SA"/>
      </w:rPr>
    </w:lvl>
    <w:lvl w:ilvl="4" w:tplc="F54C18CC">
      <w:numFmt w:val="bullet"/>
      <w:lvlText w:val="•"/>
      <w:lvlJc w:val="left"/>
      <w:pPr>
        <w:ind w:left="5611" w:hanging="360"/>
      </w:pPr>
      <w:rPr>
        <w:rFonts w:hint="default"/>
        <w:lang w:val="cs-CZ" w:eastAsia="en-US" w:bidi="ar-SA"/>
      </w:rPr>
    </w:lvl>
    <w:lvl w:ilvl="5" w:tplc="B176B1D4">
      <w:numFmt w:val="bullet"/>
      <w:lvlText w:val="•"/>
      <w:lvlJc w:val="left"/>
      <w:pPr>
        <w:ind w:left="6227" w:hanging="360"/>
      </w:pPr>
      <w:rPr>
        <w:rFonts w:hint="default"/>
        <w:lang w:val="cs-CZ" w:eastAsia="en-US" w:bidi="ar-SA"/>
      </w:rPr>
    </w:lvl>
    <w:lvl w:ilvl="6" w:tplc="BFF248A2">
      <w:numFmt w:val="bullet"/>
      <w:lvlText w:val="•"/>
      <w:lvlJc w:val="left"/>
      <w:pPr>
        <w:ind w:left="6843" w:hanging="360"/>
      </w:pPr>
      <w:rPr>
        <w:rFonts w:hint="default"/>
        <w:lang w:val="cs-CZ" w:eastAsia="en-US" w:bidi="ar-SA"/>
      </w:rPr>
    </w:lvl>
    <w:lvl w:ilvl="7" w:tplc="FB4EABC8">
      <w:numFmt w:val="bullet"/>
      <w:lvlText w:val="•"/>
      <w:lvlJc w:val="left"/>
      <w:pPr>
        <w:ind w:left="7459" w:hanging="360"/>
      </w:pPr>
      <w:rPr>
        <w:rFonts w:hint="default"/>
        <w:lang w:val="cs-CZ" w:eastAsia="en-US" w:bidi="ar-SA"/>
      </w:rPr>
    </w:lvl>
    <w:lvl w:ilvl="8" w:tplc="8B7A3A80">
      <w:numFmt w:val="bullet"/>
      <w:lvlText w:val="•"/>
      <w:lvlJc w:val="left"/>
      <w:pPr>
        <w:ind w:left="8074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56AF45AE"/>
    <w:multiLevelType w:val="multilevel"/>
    <w:tmpl w:val="FBAEF2AA"/>
    <w:lvl w:ilvl="0">
      <w:start w:val="1"/>
      <w:numFmt w:val="decimal"/>
      <w:pStyle w:val="Odstavecseseznamem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676313"/>
    <w:multiLevelType w:val="multilevel"/>
    <w:tmpl w:val="275C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0E27EE"/>
    <w:multiLevelType w:val="multilevel"/>
    <w:tmpl w:val="45007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127D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791FC2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9" w15:restartNumberingAfterBreak="0">
    <w:nsid w:val="62AD4DB9"/>
    <w:multiLevelType w:val="hybridMultilevel"/>
    <w:tmpl w:val="7294F066"/>
    <w:lvl w:ilvl="0" w:tplc="8AFECD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F2569"/>
    <w:multiLevelType w:val="multilevel"/>
    <w:tmpl w:val="483445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1E68AC"/>
    <w:multiLevelType w:val="multilevel"/>
    <w:tmpl w:val="99C805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7094972">
    <w:abstractNumId w:val="0"/>
  </w:num>
  <w:num w:numId="2" w16cid:durableId="860315035">
    <w:abstractNumId w:val="15"/>
  </w:num>
  <w:num w:numId="3" w16cid:durableId="1348292694">
    <w:abstractNumId w:val="10"/>
  </w:num>
  <w:num w:numId="4" w16cid:durableId="1364332126">
    <w:abstractNumId w:val="16"/>
  </w:num>
  <w:num w:numId="5" w16cid:durableId="266501986">
    <w:abstractNumId w:val="8"/>
  </w:num>
  <w:num w:numId="6" w16cid:durableId="478691055">
    <w:abstractNumId w:val="2"/>
  </w:num>
  <w:num w:numId="7" w16cid:durableId="857041208">
    <w:abstractNumId w:val="9"/>
  </w:num>
  <w:num w:numId="8" w16cid:durableId="1730877899">
    <w:abstractNumId w:val="12"/>
  </w:num>
  <w:num w:numId="9" w16cid:durableId="938030394">
    <w:abstractNumId w:val="4"/>
  </w:num>
  <w:num w:numId="10" w16cid:durableId="524754106">
    <w:abstractNumId w:val="13"/>
  </w:num>
  <w:num w:numId="11" w16cid:durableId="24646564">
    <w:abstractNumId w:val="5"/>
  </w:num>
  <w:num w:numId="12" w16cid:durableId="80639693">
    <w:abstractNumId w:val="18"/>
  </w:num>
  <w:num w:numId="13" w16cid:durableId="1458834130">
    <w:abstractNumId w:val="7"/>
  </w:num>
  <w:num w:numId="14" w16cid:durableId="2026706748">
    <w:abstractNumId w:val="1"/>
  </w:num>
  <w:num w:numId="15" w16cid:durableId="1004279311">
    <w:abstractNumId w:val="20"/>
  </w:num>
  <w:num w:numId="16" w16cid:durableId="976178563">
    <w:abstractNumId w:val="17"/>
  </w:num>
  <w:num w:numId="17" w16cid:durableId="1242369427">
    <w:abstractNumId w:val="21"/>
  </w:num>
  <w:num w:numId="18" w16cid:durableId="1358653287">
    <w:abstractNumId w:val="3"/>
  </w:num>
  <w:num w:numId="19" w16cid:durableId="1267423853">
    <w:abstractNumId w:val="19"/>
  </w:num>
  <w:num w:numId="20" w16cid:durableId="394399119">
    <w:abstractNumId w:val="11"/>
  </w:num>
  <w:num w:numId="21" w16cid:durableId="1530101372">
    <w:abstractNumId w:val="6"/>
  </w:num>
  <w:num w:numId="22" w16cid:durableId="1337226963">
    <w:abstractNumId w:val="14"/>
  </w:num>
  <w:num w:numId="23" w16cid:durableId="4600769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77341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8055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89477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FC"/>
    <w:rsid w:val="000400CC"/>
    <w:rsid w:val="000A28D0"/>
    <w:rsid w:val="000C7F1F"/>
    <w:rsid w:val="00113584"/>
    <w:rsid w:val="0012531E"/>
    <w:rsid w:val="00134290"/>
    <w:rsid w:val="001A1EA7"/>
    <w:rsid w:val="001C014E"/>
    <w:rsid w:val="00200F04"/>
    <w:rsid w:val="00254933"/>
    <w:rsid w:val="00297E87"/>
    <w:rsid w:val="002E7AFC"/>
    <w:rsid w:val="002F2136"/>
    <w:rsid w:val="003D3794"/>
    <w:rsid w:val="00535445"/>
    <w:rsid w:val="005A320F"/>
    <w:rsid w:val="005C2FFF"/>
    <w:rsid w:val="00601148"/>
    <w:rsid w:val="00601A9C"/>
    <w:rsid w:val="006144C2"/>
    <w:rsid w:val="00640CD0"/>
    <w:rsid w:val="006D2421"/>
    <w:rsid w:val="006E02E7"/>
    <w:rsid w:val="007372A1"/>
    <w:rsid w:val="00747919"/>
    <w:rsid w:val="007A7C27"/>
    <w:rsid w:val="00984103"/>
    <w:rsid w:val="00A647FA"/>
    <w:rsid w:val="00AA270E"/>
    <w:rsid w:val="00AC46DE"/>
    <w:rsid w:val="00AD6610"/>
    <w:rsid w:val="00AE4345"/>
    <w:rsid w:val="00BF3584"/>
    <w:rsid w:val="00D83B42"/>
    <w:rsid w:val="00DB6785"/>
    <w:rsid w:val="00DC3A55"/>
    <w:rsid w:val="00ED5DCA"/>
    <w:rsid w:val="00F5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B34902"/>
  <w15:chartTrackingRefBased/>
  <w15:docId w15:val="{806BEAF2-F08E-43B1-A6CE-EB7659F2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F2136"/>
    <w:pPr>
      <w:keepNext/>
      <w:keepLines/>
      <w:numPr>
        <w:numId w:val="12"/>
      </w:numPr>
      <w:spacing w:before="240" w:after="36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2136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2136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link w:val="Nadpis4Char"/>
    <w:uiPriority w:val="9"/>
    <w:qFormat/>
    <w:pPr>
      <w:numPr>
        <w:ilvl w:val="3"/>
        <w:numId w:val="12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2136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2136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2136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2136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2136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autoRedefine/>
    <w:uiPriority w:val="1"/>
    <w:qFormat/>
    <w:rsid w:val="000400CC"/>
    <w:pPr>
      <w:numPr>
        <w:numId w:val="22"/>
      </w:numPr>
      <w:spacing w:after="240"/>
      <w:contextualSpacing/>
      <w:jc w:val="both"/>
    </w:pPr>
  </w:style>
  <w:style w:type="paragraph" w:styleId="Zkladntext">
    <w:name w:val="Body Text"/>
    <w:basedOn w:val="Normln"/>
    <w:link w:val="ZkladntextChar"/>
    <w:uiPriority w:val="1"/>
    <w:qFormat/>
    <w:rsid w:val="00601148"/>
    <w:pPr>
      <w:widowControl w:val="0"/>
      <w:autoSpaceDE w:val="0"/>
      <w:autoSpaceDN w:val="0"/>
      <w:ind w:left="476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01148"/>
    <w:rPr>
      <w:rFonts w:ascii="Tahoma" w:eastAsia="Tahoma" w:hAnsi="Tahoma" w:cs="Tahoma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C7F1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F2136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21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21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213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21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213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213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21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2F21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2136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F21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2136"/>
    <w:rPr>
      <w:rFonts w:eastAsiaTheme="minorEastAsia"/>
      <w:sz w:val="24"/>
      <w:szCs w:val="24"/>
    </w:rPr>
  </w:style>
  <w:style w:type="paragraph" w:styleId="Revize">
    <w:name w:val="Revision"/>
    <w:hidden/>
    <w:uiPriority w:val="99"/>
    <w:semiHidden/>
    <w:rsid w:val="00BF3584"/>
    <w:rPr>
      <w:rFonts w:eastAsiaTheme="minorEastAsia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35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35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3584"/>
    <w:rPr>
      <w:rFonts w:eastAsiaTheme="minorEastAs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5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584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9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sz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ss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7884A-AB48-4312-9CC0-39CA336E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Materna;Štroufová Lucie JUDr. (UMPOD)</dc:creator>
  <cp:keywords/>
  <dc:description/>
  <cp:lastModifiedBy>Dlesková Irena (MPSV)</cp:lastModifiedBy>
  <cp:revision>2</cp:revision>
  <dcterms:created xsi:type="dcterms:W3CDTF">2024-12-10T12:04:00Z</dcterms:created>
  <dcterms:modified xsi:type="dcterms:W3CDTF">2024-12-10T12:04:00Z</dcterms:modified>
</cp:coreProperties>
</file>