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0017920198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316392272" name="Picture">
</wp:docPr>
                  <a:graphic>
                    <a:graphicData uri="http://schemas.openxmlformats.org/drawingml/2006/picture">
                      <pic:pic>
                        <pic:nvPicPr>
                          <pic:cNvPr id="1316392272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14706768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CZ14706768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STREICHER, spol. s r.o. Plzeň</w:t>
                    <w:br/>
                    <w:t xml:space="preserve">Plzeňská 565</w:t>
                    <w:br/>
                    <w:t xml:space="preserve">33209 ŠTĚNOVICE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Rabasová Tereza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E-mail: tereza.rabasova@eli-beams.eu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14.07.2017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21dní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DAP Praha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Na faktuře musí být uvedeno číslo objednávky, číslo projektu CZ.02.1.01/0.0/0.0/15_008/0000162 a název projektu ELI - EXTREME LIGHT INFRASTRUCTURE - fáze 2.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Horní víko prostupu L3-E3 pro instalaci systému L3, materiál 1.4301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71 600.00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71 600.00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Dolní víko prostupu L3-E3 pro instalaci systému L3, materiál 1.4301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154 000.00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154 000.00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47 376.00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47 376.00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272 976.00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272 976.00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30.06.2017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Rabasová Tereza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tereza.rabasova@eli-beams.eu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