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9E" w:rsidRDefault="00CB1D9E" w:rsidP="00CB1D9E">
      <w:pPr>
        <w:spacing w:line="276" w:lineRule="auto"/>
        <w:jc w:val="center"/>
        <w:rPr>
          <w:rFonts w:ascii="Segoe UI" w:hAnsi="Segoe UI" w:cs="Segoe UI"/>
          <w:b/>
          <w:sz w:val="40"/>
          <w:szCs w:val="40"/>
        </w:rPr>
      </w:pPr>
      <w:bookmarkStart w:id="0" w:name="_GoBack"/>
      <w:bookmarkEnd w:id="0"/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  <w:b/>
          <w:sz w:val="40"/>
          <w:szCs w:val="40"/>
        </w:rPr>
        <w:t>Smlouva o poskytování právních služeb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Dnešního dne uzavřeli</w:t>
      </w:r>
    </w:p>
    <w:p w:rsidR="00CB1D9E" w:rsidRPr="0066799F" w:rsidRDefault="00CB1D9E" w:rsidP="00CB1D9E">
      <w:pPr>
        <w:spacing w:line="276" w:lineRule="auto"/>
        <w:rPr>
          <w:rFonts w:ascii="Segoe UI" w:hAnsi="Segoe UI" w:cs="Segoe UI"/>
        </w:rPr>
      </w:pPr>
    </w:p>
    <w:p w:rsidR="00CB1D9E" w:rsidRPr="0066799F" w:rsidRDefault="00CB1D9E" w:rsidP="00CB1D9E">
      <w:pPr>
        <w:ind w:left="3540" w:hanging="3540"/>
        <w:jc w:val="center"/>
        <w:rPr>
          <w:rFonts w:ascii="Segoe UI" w:hAnsi="Segoe UI" w:cs="Segoe UI"/>
          <w:b/>
        </w:rPr>
      </w:pPr>
      <w:r w:rsidRPr="0066799F">
        <w:rPr>
          <w:rFonts w:ascii="Segoe UI" w:hAnsi="Segoe UI" w:cs="Segoe UI"/>
          <w:b/>
        </w:rPr>
        <w:t>Knihovna Jiřího Mahena v Brně, příspěvková organizace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sídlem Kobližná 4, 601 50 Brno, Česká republika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organizace zapsána v obchodním rejstříku vedeném Krajským soudem v Brně, 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proofErr w:type="spellStart"/>
      <w:proofErr w:type="gramStart"/>
      <w:r w:rsidRPr="0066799F">
        <w:rPr>
          <w:rFonts w:ascii="Segoe UI" w:hAnsi="Segoe UI" w:cs="Segoe UI"/>
        </w:rPr>
        <w:t>sp.zn</w:t>
      </w:r>
      <w:proofErr w:type="spellEnd"/>
      <w:r w:rsidRPr="0066799F">
        <w:rPr>
          <w:rFonts w:ascii="Segoe UI" w:hAnsi="Segoe UI" w:cs="Segoe UI"/>
        </w:rPr>
        <w:t>.</w:t>
      </w:r>
      <w:proofErr w:type="gramEnd"/>
      <w:r w:rsidRPr="0066799F">
        <w:rPr>
          <w:rFonts w:ascii="Segoe UI" w:hAnsi="Segoe UI" w:cs="Segoe UI"/>
        </w:rPr>
        <w:t xml:space="preserve">: </w:t>
      </w:r>
      <w:proofErr w:type="spellStart"/>
      <w:r w:rsidRPr="0066799F">
        <w:rPr>
          <w:rFonts w:ascii="Segoe UI" w:hAnsi="Segoe UI" w:cs="Segoe UI"/>
        </w:rPr>
        <w:t>Pr</w:t>
      </w:r>
      <w:proofErr w:type="spellEnd"/>
      <w:r w:rsidRPr="0066799F">
        <w:rPr>
          <w:rFonts w:ascii="Segoe UI" w:hAnsi="Segoe UI" w:cs="Segoe UI"/>
        </w:rPr>
        <w:t xml:space="preserve"> 33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IČ</w:t>
      </w:r>
      <w:r>
        <w:rPr>
          <w:rFonts w:ascii="Segoe UI" w:hAnsi="Segoe UI" w:cs="Segoe UI"/>
        </w:rPr>
        <w:t>O</w:t>
      </w:r>
      <w:r w:rsidRPr="0066799F">
        <w:rPr>
          <w:rFonts w:ascii="Segoe UI" w:hAnsi="Segoe UI" w:cs="Segoe UI"/>
        </w:rPr>
        <w:t>: 00101494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zastoupená Ing. Libuší Nivnickou</w:t>
      </w:r>
      <w:r w:rsidRPr="0066799F">
        <w:rPr>
          <w:rFonts w:ascii="Segoe UI" w:hAnsi="Segoe UI" w:cs="Segoe UI"/>
          <w:bCs/>
        </w:rPr>
        <w:t>, ředitelkou organizace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dále též jen „</w:t>
      </w:r>
      <w:r w:rsidRPr="0066799F">
        <w:rPr>
          <w:rFonts w:ascii="Segoe UI" w:hAnsi="Segoe UI" w:cs="Segoe UI"/>
          <w:b/>
        </w:rPr>
        <w:t>Klient</w:t>
      </w:r>
      <w:r w:rsidRPr="0066799F">
        <w:rPr>
          <w:rFonts w:ascii="Segoe UI" w:hAnsi="Segoe UI" w:cs="Segoe UI"/>
        </w:rPr>
        <w:t>“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  <w:b/>
        </w:rPr>
        <w:t>a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  <w:b/>
        </w:rPr>
        <w:t xml:space="preserve">MT Legal s.r.o., advokátní kancelář 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sídlem Jakubská 1, 602 00 Brno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společnost zapsaná v obchodním rejstříku vedeném Krajským soudem v Brně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oddíl C, vložka 60014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IČ</w:t>
      </w:r>
      <w:r>
        <w:rPr>
          <w:rFonts w:ascii="Segoe UI" w:hAnsi="Segoe UI" w:cs="Segoe UI"/>
        </w:rPr>
        <w:t>O</w:t>
      </w:r>
      <w:r w:rsidRPr="0066799F">
        <w:rPr>
          <w:rFonts w:ascii="Segoe UI" w:hAnsi="Segoe UI" w:cs="Segoe UI"/>
        </w:rPr>
        <w:t>: 28305043, DIČ: CZ28305043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proofErr w:type="spellStart"/>
      <w:proofErr w:type="gramStart"/>
      <w:r w:rsidRPr="0066799F">
        <w:rPr>
          <w:rFonts w:ascii="Segoe UI" w:hAnsi="Segoe UI" w:cs="Segoe UI"/>
        </w:rPr>
        <w:t>č.ú</w:t>
      </w:r>
      <w:proofErr w:type="spellEnd"/>
      <w:r w:rsidRPr="0066799F">
        <w:rPr>
          <w:rFonts w:ascii="Segoe UI" w:hAnsi="Segoe UI" w:cs="Segoe UI"/>
        </w:rPr>
        <w:t>. 1002755137/2700</w:t>
      </w:r>
      <w:proofErr w:type="gramEnd"/>
      <w:r w:rsidRPr="0066799F">
        <w:rPr>
          <w:rFonts w:ascii="Segoe UI" w:hAnsi="Segoe UI" w:cs="Segoe UI"/>
        </w:rPr>
        <w:t>, vedený u UniCredit Bank Czech Republic, a.s.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zastoupená Mgr. Milanem Šebestou, </w:t>
      </w:r>
      <w:proofErr w:type="gramStart"/>
      <w:r w:rsidRPr="0066799F">
        <w:rPr>
          <w:rFonts w:ascii="Segoe UI" w:hAnsi="Segoe UI" w:cs="Segoe UI"/>
        </w:rPr>
        <w:t>LL.M.</w:t>
      </w:r>
      <w:proofErr w:type="gramEnd"/>
      <w:r w:rsidRPr="0066799F">
        <w:rPr>
          <w:rFonts w:ascii="Segoe UI" w:hAnsi="Segoe UI" w:cs="Segoe UI"/>
        </w:rPr>
        <w:t>, advokátem a jednatelem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dále též jen „</w:t>
      </w:r>
      <w:r w:rsidRPr="0066799F">
        <w:rPr>
          <w:rFonts w:ascii="Segoe UI" w:hAnsi="Segoe UI" w:cs="Segoe UI"/>
          <w:b/>
        </w:rPr>
        <w:t>Advokát</w:t>
      </w:r>
      <w:r w:rsidRPr="0066799F">
        <w:rPr>
          <w:rFonts w:ascii="Segoe UI" w:hAnsi="Segoe UI" w:cs="Segoe UI"/>
        </w:rPr>
        <w:t>“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tuto smlouvu o poskytování právních služeb 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s poukazem na zákon č. 89/2012 Sb., občanský zákoník, v platném znění,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zákon č. 85/1996 Sb., o advokacii, v platném znění, 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jakož i související právní předpisy</w:t>
      </w: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Default="00CB1D9E" w:rsidP="00CB1D9E">
      <w:pPr>
        <w:spacing w:line="276" w:lineRule="auto"/>
        <w:jc w:val="center"/>
        <w:rPr>
          <w:rFonts w:ascii="Segoe UI" w:hAnsi="Segoe UI" w:cs="Segoe UI"/>
        </w:rPr>
      </w:pPr>
    </w:p>
    <w:p w:rsidR="00CB1D9E" w:rsidRPr="00CF535E" w:rsidRDefault="00CB1D9E" w:rsidP="00CB1D9E">
      <w:pPr>
        <w:numPr>
          <w:ilvl w:val="0"/>
          <w:numId w:val="1"/>
        </w:numPr>
        <w:spacing w:line="276" w:lineRule="auto"/>
        <w:rPr>
          <w:rFonts w:ascii="Segoe UI" w:eastAsia="MS UI Gothic" w:hAnsi="Segoe UI" w:cs="Segoe UI"/>
        </w:rPr>
      </w:pPr>
      <w:r w:rsidRPr="0066799F">
        <w:rPr>
          <w:rFonts w:ascii="Segoe UI" w:hAnsi="Segoe UI" w:cs="Segoe UI"/>
        </w:rPr>
        <w:lastRenderedPageBreak/>
        <w:t xml:space="preserve">Advokát se zavazuje poskytovat Klientovi právní služby, jejímž předmětem </w:t>
      </w:r>
      <w:r>
        <w:rPr>
          <w:rFonts w:ascii="Segoe UI" w:hAnsi="Segoe UI" w:cs="Segoe UI"/>
        </w:rPr>
        <w:br/>
      </w:r>
      <w:r w:rsidRPr="0066799F">
        <w:rPr>
          <w:rFonts w:ascii="Segoe UI" w:hAnsi="Segoe UI" w:cs="Segoe UI"/>
        </w:rPr>
        <w:t>je</w:t>
      </w:r>
      <w:r w:rsidRPr="0045453D">
        <w:rPr>
          <w:rFonts w:ascii="Segoe UI" w:hAnsi="Segoe UI" w:cs="Segoe UI"/>
        </w:rPr>
        <w:t xml:space="preserve"> </w:t>
      </w:r>
      <w:r w:rsidRPr="00CF535E">
        <w:rPr>
          <w:rFonts w:ascii="Segoe UI" w:hAnsi="Segoe UI" w:cs="Segoe UI"/>
        </w:rPr>
        <w:t xml:space="preserve">administrace kompletního zadávacího řízení na výběr dodavatele (administrace </w:t>
      </w:r>
      <w:r>
        <w:rPr>
          <w:rFonts w:ascii="Segoe UI" w:hAnsi="Segoe UI" w:cs="Segoe UI"/>
        </w:rPr>
        <w:br/>
      </w:r>
      <w:r w:rsidRPr="00CF535E">
        <w:rPr>
          <w:rFonts w:ascii="Segoe UI" w:hAnsi="Segoe UI" w:cs="Segoe UI"/>
        </w:rPr>
        <w:t xml:space="preserve">„na klíč“) investiční akce „Výběr dodavatele investiční akce Rekonstrukce pobočky KJM Vondrákova 15, Brno – Bystrc – Dodávka vnitřního vybavení a elektroniky“ včetně zastupování zadavatele a zabezpečení všech činností s tím spojených. Administrace bude prováděna do úplného ukončení zadávacího řízení realizované akce (do uzavření smlouvy nebo do zrušení zadávacího řízení). </w:t>
      </w:r>
    </w:p>
    <w:p w:rsidR="00CB1D9E" w:rsidRPr="00CF535E" w:rsidRDefault="00CB1D9E" w:rsidP="00CB1D9E">
      <w:pPr>
        <w:spacing w:line="276" w:lineRule="auto"/>
        <w:ind w:left="360" w:firstLine="349"/>
        <w:rPr>
          <w:rFonts w:ascii="Segoe UI" w:hAnsi="Segoe UI" w:cs="Segoe UI"/>
        </w:rPr>
      </w:pPr>
      <w:r w:rsidRPr="00CF535E">
        <w:rPr>
          <w:rFonts w:ascii="Segoe UI" w:hAnsi="Segoe UI" w:cs="Segoe UI"/>
        </w:rPr>
        <w:t xml:space="preserve">Část 1 – Dodávka vnitřního vybavení </w:t>
      </w:r>
    </w:p>
    <w:p w:rsidR="00CB1D9E" w:rsidRPr="00CF535E" w:rsidRDefault="00CB1D9E" w:rsidP="00CB1D9E">
      <w:pPr>
        <w:spacing w:line="276" w:lineRule="auto"/>
        <w:ind w:left="360" w:firstLine="349"/>
        <w:rPr>
          <w:rFonts w:ascii="Segoe UI" w:hAnsi="Segoe UI" w:cs="Segoe UI"/>
        </w:rPr>
      </w:pPr>
      <w:r w:rsidRPr="00CF535E">
        <w:rPr>
          <w:rFonts w:ascii="Segoe UI" w:hAnsi="Segoe UI" w:cs="Segoe UI"/>
        </w:rPr>
        <w:t>Část 2 – Dodávka elektroniky</w:t>
      </w:r>
    </w:p>
    <w:p w:rsidR="00CB1D9E" w:rsidRPr="0066799F" w:rsidRDefault="00CB1D9E" w:rsidP="00CB1D9E">
      <w:pPr>
        <w:spacing w:line="276" w:lineRule="auto"/>
        <w:ind w:left="720"/>
        <w:rPr>
          <w:rFonts w:ascii="Segoe UI" w:eastAsia="MS UI Gothic" w:hAnsi="Segoe UI" w:cs="Segoe UI"/>
        </w:rPr>
      </w:pPr>
    </w:p>
    <w:p w:rsidR="00CB1D9E" w:rsidRPr="0066799F" w:rsidRDefault="00CB1D9E" w:rsidP="00CB1D9E">
      <w:pPr>
        <w:spacing w:line="276" w:lineRule="auto"/>
        <w:ind w:left="720"/>
        <w:rPr>
          <w:rFonts w:ascii="Segoe UI" w:hAnsi="Segoe UI" w:cs="Segoe UI"/>
        </w:rPr>
      </w:pPr>
      <w:r w:rsidRPr="0066799F">
        <w:rPr>
          <w:rFonts w:ascii="Segoe UI" w:eastAsia="MS UI Gothic" w:hAnsi="Segoe UI" w:cs="Segoe UI"/>
        </w:rPr>
        <w:t xml:space="preserve">Advokát provede veškeré požadované činnosti a vypracuje veškeré podklady </w:t>
      </w:r>
      <w:r>
        <w:rPr>
          <w:rFonts w:ascii="Segoe UI" w:eastAsia="MS UI Gothic" w:hAnsi="Segoe UI" w:cs="Segoe UI"/>
        </w:rPr>
        <w:br/>
      </w:r>
      <w:r w:rsidRPr="0066799F">
        <w:rPr>
          <w:rFonts w:ascii="Segoe UI" w:eastAsia="MS UI Gothic" w:hAnsi="Segoe UI" w:cs="Segoe UI"/>
        </w:rPr>
        <w:t>za účelem splnění této zakázky</w:t>
      </w:r>
      <w:r>
        <w:rPr>
          <w:rFonts w:ascii="Segoe UI" w:eastAsia="MS UI Gothic" w:hAnsi="Segoe UI" w:cs="Segoe UI"/>
        </w:rPr>
        <w:t xml:space="preserve">. </w:t>
      </w:r>
    </w:p>
    <w:p w:rsidR="00CB1D9E" w:rsidRPr="0066799F" w:rsidRDefault="00CB1D9E" w:rsidP="00CB1D9E">
      <w:pPr>
        <w:pStyle w:val="Zkladntextodsazen21"/>
        <w:keepNext/>
        <w:autoSpaceDE/>
        <w:spacing w:line="276" w:lineRule="auto"/>
        <w:ind w:left="360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ind w:left="708"/>
        <w:rPr>
          <w:rFonts w:ascii="Segoe UI" w:eastAsia="MS UI Gothic" w:hAnsi="Segoe UI" w:cs="Segoe UI"/>
          <w:b/>
          <w:u w:val="single"/>
        </w:rPr>
      </w:pPr>
      <w:r>
        <w:rPr>
          <w:rFonts w:ascii="Segoe UI" w:eastAsia="MS UI Gothic" w:hAnsi="Segoe UI" w:cs="Segoe UI"/>
        </w:rPr>
        <w:t>Administrace</w:t>
      </w:r>
      <w:r w:rsidRPr="0066799F">
        <w:rPr>
          <w:rFonts w:ascii="Segoe UI" w:eastAsia="MS UI Gothic" w:hAnsi="Segoe UI" w:cs="Segoe UI"/>
        </w:rPr>
        <w:t xml:space="preserve"> zahrnuje zejména (nikoliv výlučně) následující činnosti:</w:t>
      </w:r>
    </w:p>
    <w:p w:rsidR="00CB1D9E" w:rsidRPr="0066799F" w:rsidRDefault="00CB1D9E" w:rsidP="00CB1D9E">
      <w:pPr>
        <w:spacing w:line="276" w:lineRule="auto"/>
        <w:ind w:left="70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Advokát připraví dle podkladů dodaných Klientem </w:t>
      </w:r>
      <w:r w:rsidRPr="0066799F">
        <w:rPr>
          <w:rFonts w:ascii="Segoe UI" w:eastAsia="MS UI Gothic" w:hAnsi="Segoe UI" w:cs="Segoe UI"/>
          <w:i/>
        </w:rPr>
        <w:t>(zejména dle PD ve stupni DPS včetně rozpočtu</w:t>
      </w:r>
      <w:r w:rsidRPr="0066799F">
        <w:rPr>
          <w:rFonts w:ascii="Segoe UI" w:eastAsia="MS UI Gothic" w:hAnsi="Segoe UI" w:cs="Segoe UI"/>
        </w:rPr>
        <w:t xml:space="preserve">): </w:t>
      </w:r>
    </w:p>
    <w:p w:rsidR="00CB1D9E" w:rsidRPr="00C1689D" w:rsidRDefault="00CB1D9E" w:rsidP="00CB1D9E">
      <w:pPr>
        <w:ind w:left="993" w:hanging="284"/>
        <w:rPr>
          <w:rFonts w:ascii="Segoe UI" w:hAnsi="Segoe UI" w:cs="Segoe UI"/>
          <w:color w:val="FF0000"/>
          <w:spacing w:val="-2"/>
        </w:rPr>
      </w:pPr>
      <w:r w:rsidRPr="00C1689D">
        <w:rPr>
          <w:rFonts w:ascii="Segoe UI" w:hAnsi="Segoe UI" w:cs="Segoe UI"/>
          <w:spacing w:val="-2"/>
        </w:rPr>
        <w:t>-</w:t>
      </w:r>
      <w:r w:rsidRPr="00C1689D">
        <w:rPr>
          <w:rFonts w:ascii="Segoe UI" w:hAnsi="Segoe UI" w:cs="Segoe UI"/>
          <w:spacing w:val="-2"/>
        </w:rPr>
        <w:tab/>
        <w:t>návrh druhu zadávacího řízení v návaznosti na typ veřejné zakázky – zvolit transparentní řešení a co možná nejkratší dobu plnění veřejné zakázky</w:t>
      </w:r>
    </w:p>
    <w:p w:rsidR="00CB1D9E" w:rsidRPr="00C1689D" w:rsidRDefault="00CB1D9E" w:rsidP="00CB1D9E">
      <w:p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 xml:space="preserve">- </w:t>
      </w:r>
      <w:r w:rsidRPr="00C1689D">
        <w:rPr>
          <w:rFonts w:ascii="Segoe UI" w:hAnsi="Segoe UI" w:cs="Segoe UI"/>
          <w:spacing w:val="-2"/>
        </w:rPr>
        <w:tab/>
        <w:t>předběžné oznámení</w:t>
      </w:r>
      <w:r w:rsidRPr="00C1689D">
        <w:rPr>
          <w:rFonts w:ascii="Segoe UI" w:hAnsi="Segoe UI" w:cs="Segoe UI"/>
          <w:bCs/>
        </w:rPr>
        <w:t xml:space="preserve"> včetně odůvodnění účelnosti veřejné zakázky na základě údajů poskytnutých zadavatelem</w:t>
      </w:r>
    </w:p>
    <w:p w:rsidR="00CB1D9E" w:rsidRPr="00C1689D" w:rsidRDefault="00CB1D9E" w:rsidP="00CB1D9E">
      <w:p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 xml:space="preserve">- </w:t>
      </w:r>
      <w:r w:rsidRPr="00C1689D">
        <w:rPr>
          <w:rFonts w:ascii="Segoe UI" w:hAnsi="Segoe UI" w:cs="Segoe UI"/>
          <w:spacing w:val="-2"/>
        </w:rPr>
        <w:tab/>
        <w:t>oznámení nebo výzvu o zahájení zadávacího řízení (včetně všech potřebných náležitostí a údajů)</w:t>
      </w:r>
    </w:p>
    <w:p w:rsidR="00CB1D9E" w:rsidRPr="00C1689D" w:rsidRDefault="00CB1D9E" w:rsidP="00CB1D9E">
      <w:p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-</w:t>
      </w:r>
      <w:r w:rsidRPr="00C1689D">
        <w:rPr>
          <w:rFonts w:ascii="Segoe UI" w:hAnsi="Segoe UI" w:cs="Segoe UI"/>
          <w:spacing w:val="-2"/>
        </w:rPr>
        <w:tab/>
        <w:t>zadávací dokumentaci (příprava a kompletní zpracování) obsahující zejména:</w:t>
      </w:r>
    </w:p>
    <w:p w:rsidR="00CB1D9E" w:rsidRPr="00C1689D" w:rsidRDefault="00CB1D9E" w:rsidP="00CB1D9E">
      <w:pPr>
        <w:ind w:left="1276" w:hanging="284"/>
        <w:rPr>
          <w:rFonts w:ascii="Segoe UI" w:hAnsi="Segoe UI" w:cs="Segoe UI"/>
          <w:color w:val="FF0000"/>
          <w:spacing w:val="-2"/>
        </w:rPr>
      </w:pPr>
      <w:r w:rsidRPr="00C1689D">
        <w:rPr>
          <w:rFonts w:ascii="Segoe UI" w:hAnsi="Segoe UI" w:cs="Segoe UI"/>
          <w:spacing w:val="-2"/>
        </w:rPr>
        <w:t xml:space="preserve">● </w:t>
      </w:r>
      <w:r w:rsidRPr="00C1689D">
        <w:rPr>
          <w:rFonts w:ascii="Segoe UI" w:hAnsi="Segoe UI" w:cs="Segoe UI"/>
          <w:spacing w:val="-2"/>
        </w:rPr>
        <w:tab/>
        <w:t>obchodní podmínky - závazný návrh smlouvy o dílo včetně veškerých náležitostí.  Smlouva bude tvořit spolu s ostatními součástmi zadávací dokumentace jednu z příloh oznámení nebo výzvy</w:t>
      </w:r>
      <w:r w:rsidRPr="00C1689D">
        <w:rPr>
          <w:rFonts w:ascii="Segoe UI" w:hAnsi="Segoe UI" w:cs="Segoe UI"/>
          <w:color w:val="FF0000"/>
          <w:spacing w:val="-2"/>
        </w:rPr>
        <w:t xml:space="preserve"> </w:t>
      </w:r>
    </w:p>
    <w:p w:rsidR="00CB1D9E" w:rsidRPr="00C1689D" w:rsidRDefault="00CB1D9E" w:rsidP="00CB1D9E">
      <w:pPr>
        <w:ind w:left="1276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 xml:space="preserve">● </w:t>
      </w:r>
      <w:r w:rsidRPr="00C1689D">
        <w:rPr>
          <w:rFonts w:ascii="Segoe UI" w:hAnsi="Segoe UI" w:cs="Segoe UI"/>
          <w:spacing w:val="-2"/>
        </w:rPr>
        <w:tab/>
        <w:t>kvalifikační požadavky případně kvalifikační dokumentace včetně formulářů pro doložení údajů, které jsou předmětem hodnocení kvalifikačních požadavků (např. vzory čestných prohlášení atd.)</w:t>
      </w:r>
    </w:p>
    <w:p w:rsidR="00CB1D9E" w:rsidRDefault="00CB1D9E" w:rsidP="00CB1D9E">
      <w:pPr>
        <w:ind w:left="1276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●</w:t>
      </w:r>
      <w:r w:rsidRPr="00C1689D">
        <w:rPr>
          <w:rFonts w:ascii="Segoe UI" w:hAnsi="Segoe UI" w:cs="Segoe UI"/>
          <w:spacing w:val="-2"/>
        </w:rPr>
        <w:tab/>
        <w:t>formuláře pro doložení údajů, které jsou předmětem hodnocení hodnotících kritérií (např. krycí list)</w:t>
      </w:r>
    </w:p>
    <w:p w:rsidR="00CB1D9E" w:rsidRPr="00C1689D" w:rsidRDefault="00CB1D9E" w:rsidP="00CB1D9E">
      <w:pPr>
        <w:spacing w:line="276" w:lineRule="auto"/>
        <w:ind w:left="1276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●</w:t>
      </w:r>
      <w:r>
        <w:rPr>
          <w:rFonts w:ascii="Segoe UI" w:hAnsi="Segoe UI" w:cs="Segoe UI"/>
          <w:spacing w:val="-2"/>
        </w:rPr>
        <w:t xml:space="preserve">  </w:t>
      </w:r>
      <w:r w:rsidRPr="00C1689D">
        <w:rPr>
          <w:rFonts w:ascii="Segoe UI" w:hAnsi="Segoe UI" w:cs="Segoe UI"/>
          <w:spacing w:val="-2"/>
        </w:rPr>
        <w:t>další potřebné součásti dle zákona;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návrh hodnotících kritérií;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pokyny pro zpracování nabídky dodavatelem;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podmínky pro poskytnutí jistoty, bude-li vyžadována;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 xml:space="preserve">protokol o otevírání obálek; 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protokol o posouzení kvalifikace uchazečů;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protokol o jednání hodnotící komise;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 xml:space="preserve">zprávu o posouzení a hodnocení nabídek; 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evidenci námitek uchazečů;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 xml:space="preserve">návrh stanoviska k námitkám uchazečů a spolupráce při řešení námitek, návrh </w:t>
      </w:r>
      <w:r>
        <w:rPr>
          <w:rFonts w:ascii="Segoe UI" w:hAnsi="Segoe UI" w:cs="Segoe UI"/>
          <w:spacing w:val="-2"/>
        </w:rPr>
        <w:br/>
      </w:r>
      <w:r w:rsidRPr="00C1689D">
        <w:rPr>
          <w:rFonts w:ascii="Segoe UI" w:hAnsi="Segoe UI" w:cs="Segoe UI"/>
          <w:spacing w:val="-2"/>
        </w:rPr>
        <w:t xml:space="preserve">na rozhodnutí o způsobu vyřízení námitek (o způsobu vyřízení rozhoduje Klient, zpravidla na návrh Advokáta); 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lastRenderedPageBreak/>
        <w:t>návrh stanoviska Klienta k návrhu podaného k Úřadu pro ochranu hospodářské soutěže;</w:t>
      </w:r>
    </w:p>
    <w:p w:rsidR="00CB1D9E" w:rsidRPr="00C1689D" w:rsidRDefault="00CB1D9E" w:rsidP="00CB1D9E">
      <w:pPr>
        <w:pStyle w:val="Odstavecseseznamem"/>
        <w:numPr>
          <w:ilvl w:val="0"/>
          <w:numId w:val="3"/>
        </w:numPr>
        <w:ind w:left="993" w:hanging="284"/>
        <w:rPr>
          <w:rFonts w:ascii="Segoe UI" w:hAnsi="Segoe UI" w:cs="Segoe UI"/>
          <w:spacing w:val="-2"/>
        </w:rPr>
      </w:pPr>
      <w:r w:rsidRPr="00C1689D">
        <w:rPr>
          <w:rFonts w:ascii="Segoe UI" w:hAnsi="Segoe UI" w:cs="Segoe UI"/>
          <w:spacing w:val="-2"/>
        </w:rPr>
        <w:t>písemnou zprávu Klienta o veřejné zakázce.</w:t>
      </w:r>
    </w:p>
    <w:p w:rsidR="00CB1D9E" w:rsidRPr="0066799F" w:rsidRDefault="00CB1D9E" w:rsidP="00CB1D9E">
      <w:pPr>
        <w:pStyle w:val="Zkladntextodsazen21"/>
        <w:keepNext/>
        <w:autoSpaceDE/>
        <w:spacing w:line="276" w:lineRule="auto"/>
        <w:ind w:left="426"/>
        <w:rPr>
          <w:rFonts w:ascii="Segoe UI" w:hAnsi="Segoe UI" w:cs="Segoe UI"/>
        </w:rPr>
      </w:pPr>
    </w:p>
    <w:p w:rsidR="00CB1D9E" w:rsidRPr="0066799F" w:rsidRDefault="00CB1D9E" w:rsidP="00CB1D9E">
      <w:pPr>
        <w:spacing w:line="276" w:lineRule="auto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  <w:b/>
          <w:u w:val="single"/>
        </w:rPr>
        <w:t>Advokát dále zajistí či připraví: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komunikaci s uchazeči, poskytování dodatečných informací dle zákona </w:t>
      </w:r>
      <w:r w:rsidRPr="0066799F">
        <w:rPr>
          <w:rFonts w:ascii="Segoe UI" w:eastAsia="MS UI Gothic" w:hAnsi="Segoe UI" w:cs="Segoe UI"/>
        </w:rPr>
        <w:br/>
        <w:t>a odpovědi na dotazy k zadávací dokumentaci;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sestavení, kompletaci a rozmnožení zadávací dokumentace, včetně PD a příloh </w:t>
      </w:r>
      <w:r w:rsidRPr="0066799F">
        <w:rPr>
          <w:rFonts w:ascii="Segoe UI" w:eastAsia="MS UI Gothic" w:hAnsi="Segoe UI" w:cs="Segoe UI"/>
        </w:rPr>
        <w:br/>
        <w:t>(i v elektronické podobě) v potřebném počtu, nebude-li poskytováno v elektronické podobě;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distribuci zadávací dokumentace uchazečům;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přebírání obálek s nabídkami a jejich evidenci;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potvrzení o přijetí nabídek;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veškeré úkony související s činností komise pro otevírání obálek (organizační zajištění včetně sestavení komise po konzultaci s klientem, otevírání obálek, účast na jednání, příprava formulářů pro jmenování členů a náhradníků, řízení jednání komise), provedení kontroly úplnosti nabídek, posouzení nabídek z hlediska splnění požadavků zadávacího řízení a dalších potřebných úkonů. O výsledku bude Klienta informovat formou protokolu o otevírání obálek s příp. doporučením dalšího postupu;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veškeré úkony související s činností hodnotící komise (organizační zajištění včetně sestavení komise po konzultaci s Klientem, účast na jednání, příprava formulářů pro jmenování členů a náhradníků, příprava čestných prohlášení pro členy a náhradníky o nepodjatosti, řízení jednání komise);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zpracování rozboru nabídek z hlediska splnění kvalifikačních požadavků a splnění zadávacích podmínek;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zpracování rozboru nabídek z hlediska hodnotících kritérií a návrh užití hodnotících metod;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zpracování hodnotících tabulek pro jednotlivá hodnotící kritéria a členy hodnotící </w:t>
      </w:r>
    </w:p>
    <w:p w:rsidR="00CB1D9E" w:rsidRPr="0066799F" w:rsidRDefault="00CB1D9E" w:rsidP="00CB1D9E">
      <w:p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komise a souhrnných tabulek pro hodnotící kritéria a tabulky celkového pořadí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hAnsi="Segoe UI" w:cs="Segoe UI"/>
        </w:rPr>
      </w:pPr>
      <w:r w:rsidRPr="0066799F">
        <w:rPr>
          <w:rFonts w:ascii="Segoe UI" w:eastAsia="MS UI Gothic" w:hAnsi="Segoe UI" w:cs="Segoe UI"/>
        </w:rPr>
        <w:t xml:space="preserve">návrh žádosti o objasnění informací a dokladů prokazujících splnění kvalifikace (žádost podepisuje Klient); 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návrh žádosti o písemné vysvětlení nabídky (žádost podepisuje předseda hodnotící komise nikoli Advokát);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>
        <w:rPr>
          <w:rFonts w:ascii="Segoe UI" w:eastAsia="MS UI Gothic" w:hAnsi="Segoe UI" w:cs="Segoe UI"/>
        </w:rPr>
        <w:t>posouzení výše nabídkových cen</w:t>
      </w:r>
      <w:r w:rsidRPr="0066799F">
        <w:rPr>
          <w:rFonts w:ascii="Segoe UI" w:eastAsia="MS UI Gothic" w:hAnsi="Segoe UI" w:cs="Segoe UI"/>
        </w:rPr>
        <w:t>, tj. z hlediska mimořádně nízké nabídkové ceny;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návrh žádosti o písemné zdůvodnění mimořádně nízké nabídkové ceny (žádost podepisuje předseda hodnotící komise nikoli Advokát);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návrh na vyloučení dodavatele z účasti v zadávacím řízení (o vyřazení nabídky rozhoduje hodnotící komise); 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zajištění dokladů pro uvolnění jistoty vyloučenému uchazeči včetně zpracování potřebných formulářů (byla-li jistota vyžadována);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lastRenderedPageBreak/>
        <w:t xml:space="preserve">návrh na zrušení zadávacího řízení – zpracování formuláře (o zrušení rozhoduje Klient zpravidla na návrh Advokáta); 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návrh hodnocení dle stanovených kritérií a návrh výběru nejvhodnější nabídky včetně zdůvodnění;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návrh na oznámení rozhodnutí zadavatele o výběru nejvhodnější nabídky </w:t>
      </w:r>
      <w:r>
        <w:rPr>
          <w:rFonts w:ascii="Segoe UI" w:eastAsia="MS UI Gothic" w:hAnsi="Segoe UI" w:cs="Segoe UI"/>
        </w:rPr>
        <w:br/>
      </w:r>
      <w:r w:rsidRPr="0066799F">
        <w:rPr>
          <w:rFonts w:ascii="Segoe UI" w:eastAsia="MS UI Gothic" w:hAnsi="Segoe UI" w:cs="Segoe UI"/>
        </w:rPr>
        <w:t xml:space="preserve">(o výběru nejvhodnější nabídky rozhodne Klient zpravidla na návrh Advokáta) </w:t>
      </w:r>
      <w:r>
        <w:rPr>
          <w:rFonts w:ascii="Segoe UI" w:eastAsia="MS UI Gothic" w:hAnsi="Segoe UI" w:cs="Segoe UI"/>
        </w:rPr>
        <w:br/>
      </w:r>
      <w:r w:rsidRPr="0066799F">
        <w:rPr>
          <w:rFonts w:ascii="Segoe UI" w:eastAsia="MS UI Gothic" w:hAnsi="Segoe UI" w:cs="Segoe UI"/>
        </w:rPr>
        <w:t>a doručení oznámení uchazečům, kteří nebyli ze zadávacího řízení vyloučeni;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zajištění vrácení případných ukázek a vzorků; 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zajištění uvolnění jistoty (byla-li jistota vyžadována);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uveřejnění podkladů (předběžného oznámení, oznámení, výzev, písemné zprávy, údajů a dalších podkladů) v souladu se zákonem – na profilu zadavatele, </w:t>
      </w:r>
      <w:r>
        <w:rPr>
          <w:rFonts w:ascii="Segoe UI" w:eastAsia="MS UI Gothic" w:hAnsi="Segoe UI" w:cs="Segoe UI"/>
        </w:rPr>
        <w:br/>
      </w:r>
      <w:r w:rsidRPr="0066799F">
        <w:rPr>
          <w:rFonts w:ascii="Segoe UI" w:eastAsia="MS UI Gothic" w:hAnsi="Segoe UI" w:cs="Segoe UI"/>
        </w:rPr>
        <w:t>na základě údajů poskytnutých Klientem, ve Věstníku veřejných zakázek apod.;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odborná pomoc a spolupráce při uzavření konečného znění smlouvy s dodavatelem (smlouvu podepisuje Klient);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>odborná pomoc a spolupráce při řešení návrhu podaného k Úřadu pro ochranu hospodářské soutěže;</w:t>
      </w:r>
    </w:p>
    <w:p w:rsidR="00CB1D9E" w:rsidRPr="0066799F" w:rsidRDefault="00CB1D9E" w:rsidP="00CB1D9E">
      <w:pPr>
        <w:numPr>
          <w:ilvl w:val="0"/>
          <w:numId w:val="2"/>
        </w:numPr>
        <w:spacing w:line="276" w:lineRule="auto"/>
        <w:ind w:left="1068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kompletaci dokumentace k veřejné zakázce po ukončení zadávacího řízení. </w:t>
      </w:r>
    </w:p>
    <w:p w:rsidR="00CB1D9E" w:rsidRPr="009838DD" w:rsidRDefault="00CB1D9E" w:rsidP="00CB1D9E">
      <w:pPr>
        <w:spacing w:line="276" w:lineRule="auto"/>
        <w:ind w:left="360"/>
        <w:rPr>
          <w:rFonts w:ascii="Segoe UI" w:eastAsia="MS UI Gothic" w:hAnsi="Segoe UI" w:cs="Segoe UI"/>
          <w:sz w:val="16"/>
          <w:szCs w:val="16"/>
        </w:rPr>
      </w:pPr>
    </w:p>
    <w:p w:rsidR="00CB1D9E" w:rsidRPr="0066799F" w:rsidRDefault="00CB1D9E" w:rsidP="00CB1D9E">
      <w:pPr>
        <w:spacing w:line="276" w:lineRule="auto"/>
        <w:ind w:left="360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Pokud nejsou některé činnosti potřebné k řádné realizaci této zakázky ve výše uvedeném výčtu zahrnuty, má se za to, že jsou jeho obsahem. </w:t>
      </w:r>
    </w:p>
    <w:p w:rsidR="00CB1D9E" w:rsidRPr="009838DD" w:rsidRDefault="00CB1D9E" w:rsidP="00CB1D9E">
      <w:pPr>
        <w:spacing w:line="276" w:lineRule="auto"/>
        <w:ind w:left="360"/>
        <w:rPr>
          <w:rFonts w:ascii="Segoe UI" w:eastAsia="MS UI Gothic" w:hAnsi="Segoe UI" w:cs="Segoe UI"/>
          <w:sz w:val="16"/>
          <w:szCs w:val="16"/>
        </w:rPr>
      </w:pPr>
    </w:p>
    <w:p w:rsidR="00CB1D9E" w:rsidRPr="0066799F" w:rsidRDefault="00CB1D9E" w:rsidP="00CB1D9E">
      <w:pPr>
        <w:spacing w:line="276" w:lineRule="auto"/>
        <w:ind w:left="360"/>
        <w:rPr>
          <w:rFonts w:ascii="Segoe UI" w:eastAsia="MS UI Gothic" w:hAnsi="Segoe UI" w:cs="Segoe UI"/>
        </w:rPr>
      </w:pPr>
      <w:r w:rsidRPr="0066799F">
        <w:rPr>
          <w:rFonts w:ascii="Segoe UI" w:eastAsia="MS UI Gothic" w:hAnsi="Segoe UI" w:cs="Segoe UI"/>
        </w:rPr>
        <w:t xml:space="preserve">Po úplném ukončení zadávacího řízení na dodavatele (po uzavření smlouvy </w:t>
      </w:r>
      <w:r>
        <w:rPr>
          <w:rFonts w:ascii="Segoe UI" w:eastAsia="MS UI Gothic" w:hAnsi="Segoe UI" w:cs="Segoe UI"/>
        </w:rPr>
        <w:br/>
      </w:r>
      <w:r w:rsidRPr="0066799F">
        <w:rPr>
          <w:rFonts w:ascii="Segoe UI" w:eastAsia="MS UI Gothic" w:hAnsi="Segoe UI" w:cs="Segoe UI"/>
        </w:rPr>
        <w:t xml:space="preserve">příp. po zrušení zadávacího řízení) předá Advokát Klientovi kompletní dokumentaci k plnění této zakázky, tj. z průběhu zadávacího řízení. </w:t>
      </w:r>
    </w:p>
    <w:p w:rsidR="00CB1D9E" w:rsidRPr="009838DD" w:rsidRDefault="00CB1D9E" w:rsidP="00CB1D9E">
      <w:pPr>
        <w:spacing w:line="276" w:lineRule="auto"/>
        <w:ind w:left="360"/>
        <w:rPr>
          <w:rFonts w:ascii="Segoe UI" w:eastAsia="MS UI Gothic" w:hAnsi="Segoe UI" w:cs="Segoe UI"/>
          <w:sz w:val="16"/>
          <w:szCs w:val="16"/>
        </w:rPr>
      </w:pPr>
    </w:p>
    <w:p w:rsidR="00CB1D9E" w:rsidRPr="0066799F" w:rsidRDefault="00CB1D9E" w:rsidP="00CB1D9E">
      <w:pPr>
        <w:pStyle w:val="Zkladntextodsazen21"/>
        <w:keepNext/>
        <w:autoSpaceDE/>
        <w:spacing w:line="276" w:lineRule="auto"/>
        <w:ind w:left="426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Klient se zavazuje za poskytnutí právní služby zaplatit Advokátovi odměnu.</w:t>
      </w:r>
    </w:p>
    <w:p w:rsidR="00CB1D9E" w:rsidRPr="0066799F" w:rsidRDefault="00CB1D9E" w:rsidP="00CB1D9E">
      <w:pPr>
        <w:pStyle w:val="Zkladntextodsazen21"/>
        <w:keepNext/>
        <w:autoSpaceDE/>
        <w:spacing w:line="276" w:lineRule="auto"/>
        <w:ind w:left="360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Advokát se zavazuje chránit a prosazovat práva a oprávněné zájmy Klienta. Při poskytování právních služeb je Advokát nezávislý, je však vázán právními předpisy a v jejich mezích příkazy a pokyny Klienta. Jsou-li pokyny Klienta v rozporu se zákonem nebo předpisem upravujícím výkon advokacie, není jimi Advokát vázán; o tom je povinen Klienta neprodleně vyrozumět. 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Klient současně s podpisem této smlouvy výslovně uděluje Advokátovi plnou moc k jednání jeho jménem v mezích této smlouvy. Vyžaduje-li zákon zvláštní formu plné moci, nebo pokud Advokát Klienta vyzve, zavazuje se Klient vystavit Advokátovi písemnou plnou moc zvláštní listinou.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Klient se zavazuje poskytovat Advokátovi včas úplné a pravdivé informace a předkládat mu veškeré listinné materiály potřebné k řádnému výkonu činnosti podle této smlouvy, jakož i poskytnout jinou potřebnou součinnost; zejména stvrzuje pravdivost údajů, které Advokátovi v souvislosti s jeho činností dle této smlouvy poskytl a je srozuměn s následky poskytnutí nepravdivých či neúplných informací v souvislosti s poskytováním </w:t>
      </w:r>
      <w:r w:rsidRPr="0066799F">
        <w:rPr>
          <w:rFonts w:ascii="Segoe UI" w:hAnsi="Segoe UI" w:cs="Segoe UI"/>
        </w:rPr>
        <w:lastRenderedPageBreak/>
        <w:t>právních služeb dle této smlouvy. Poskytnutí nepravdivých</w:t>
      </w:r>
      <w:r>
        <w:rPr>
          <w:rFonts w:ascii="Segoe UI" w:hAnsi="Segoe UI" w:cs="Segoe UI"/>
        </w:rPr>
        <w:t xml:space="preserve"> </w:t>
      </w:r>
      <w:r w:rsidRPr="0066799F">
        <w:rPr>
          <w:rFonts w:ascii="Segoe UI" w:hAnsi="Segoe UI" w:cs="Segoe UI"/>
        </w:rPr>
        <w:t xml:space="preserve">či neúplných informací může být Advokátem považováno za narušení důvěry mezi Klientem a Advokátem.  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Advokát se zavazuje informovat včas Klienta o důležitých skutečnostech souvisejících s poskytováním právních služeb a poučit jej o jeho oprávněných nárocích</w:t>
      </w:r>
      <w:r w:rsidRPr="0066799F">
        <w:rPr>
          <w:rFonts w:ascii="Segoe UI" w:hAnsi="Segoe UI" w:cs="Segoe UI"/>
        </w:rPr>
        <w:br/>
        <w:t xml:space="preserve">jakož i </w:t>
      </w:r>
      <w:proofErr w:type="gramStart"/>
      <w:r w:rsidRPr="0066799F">
        <w:rPr>
          <w:rFonts w:ascii="Segoe UI" w:hAnsi="Segoe UI" w:cs="Segoe UI"/>
        </w:rPr>
        <w:t>lhůtách</w:t>
      </w:r>
      <w:proofErr w:type="gramEnd"/>
      <w:r w:rsidRPr="0066799F">
        <w:rPr>
          <w:rFonts w:ascii="Segoe UI" w:hAnsi="Segoe UI" w:cs="Segoe UI"/>
        </w:rPr>
        <w:t xml:space="preserve">, v nichž je třeba je uplatňovat, jakož i </w:t>
      </w:r>
      <w:r>
        <w:rPr>
          <w:rFonts w:ascii="Segoe UI" w:hAnsi="Segoe UI" w:cs="Segoe UI"/>
        </w:rPr>
        <w:t xml:space="preserve">o </w:t>
      </w:r>
      <w:r w:rsidRPr="0066799F">
        <w:rPr>
          <w:rFonts w:ascii="Segoe UI" w:hAnsi="Segoe UI" w:cs="Segoe UI"/>
        </w:rPr>
        <w:t>jeho povinnostech vyplývajících z právních a jiných předpisů.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  <w:highlight w:val="yellow"/>
        </w:rPr>
      </w:pPr>
      <w:r w:rsidRPr="0066799F">
        <w:rPr>
          <w:rFonts w:ascii="Segoe UI" w:hAnsi="Segoe UI" w:cs="Segoe UI"/>
        </w:rPr>
        <w:t xml:space="preserve">Veškeré pokyny poskytuje a informace předává Klient zpravidla prostřednictvím kontaktních osob. Ke dni podpisu této smlouvy je kontaktní osobou </w:t>
      </w:r>
      <w:r w:rsidRPr="0066799F">
        <w:rPr>
          <w:rFonts w:ascii="Segoe UI" w:hAnsi="Segoe UI" w:cs="Segoe UI"/>
          <w:highlight w:val="yellow"/>
        </w:rPr>
        <w:t xml:space="preserve">________________, 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  <w:r w:rsidRPr="0066799F">
        <w:rPr>
          <w:rFonts w:ascii="Segoe UI" w:hAnsi="Segoe UI" w:cs="Segoe UI"/>
          <w:highlight w:val="yellow"/>
        </w:rPr>
        <w:t>tel. č. ________________, e-mail _______________.</w:t>
      </w:r>
      <w:r w:rsidRPr="0066799F">
        <w:rPr>
          <w:rFonts w:ascii="Segoe UI" w:hAnsi="Segoe UI" w:cs="Segoe UI"/>
        </w:rPr>
        <w:t xml:space="preserve"> Tím není dotčeno právo statutárního nebo jiného orgánu jednat za právnickou osobu.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bookmarkStart w:id="1" w:name="_Ref374817096"/>
      <w:r w:rsidRPr="0066799F">
        <w:rPr>
          <w:rFonts w:ascii="Segoe UI" w:hAnsi="Segoe UI" w:cs="Segoe UI"/>
        </w:rPr>
        <w:t>Klient bere na vědomí, že s přihlédnutím k § 26 zákona o advokacii může právní služby poskytovat anebo Advokáta při jednotlivých úkonech zastoupit i jiný advokát, advokátní koncipient nebo zaměstnanec advokátní kanceláře. Určení, který z pověřených advokátů, koncipientů nebo pracovníků Advokáta se bude podílet</w:t>
      </w:r>
      <w:r>
        <w:rPr>
          <w:rFonts w:ascii="Segoe UI" w:hAnsi="Segoe UI" w:cs="Segoe UI"/>
        </w:rPr>
        <w:t xml:space="preserve"> </w:t>
      </w:r>
      <w:r w:rsidRPr="0066799F">
        <w:rPr>
          <w:rFonts w:ascii="Segoe UI" w:hAnsi="Segoe UI" w:cs="Segoe UI"/>
        </w:rPr>
        <w:t>na konkrétních úkonech právní služby a v jakém rozsahu přísluší Advokátovi, pokud</w:t>
      </w:r>
      <w:r>
        <w:rPr>
          <w:rFonts w:ascii="Segoe UI" w:hAnsi="Segoe UI" w:cs="Segoe UI"/>
        </w:rPr>
        <w:t xml:space="preserve"> </w:t>
      </w:r>
      <w:r w:rsidRPr="0066799F">
        <w:rPr>
          <w:rFonts w:ascii="Segoe UI" w:hAnsi="Segoe UI" w:cs="Segoe UI"/>
        </w:rPr>
        <w:t>se strany v daném případě nedohodnou odchylně.</w:t>
      </w:r>
      <w:bookmarkEnd w:id="1"/>
      <w:r w:rsidRPr="0066799F">
        <w:rPr>
          <w:rFonts w:ascii="Segoe UI" w:hAnsi="Segoe UI" w:cs="Segoe UI"/>
        </w:rPr>
        <w:t xml:space="preserve"> 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eastAsia="MS UI Gothic" w:hAnsi="Segoe UI" w:cs="Segoe UI"/>
        </w:rPr>
      </w:pPr>
      <w:bookmarkStart w:id="2" w:name="_Ref374817059"/>
      <w:r w:rsidRPr="0066799F">
        <w:rPr>
          <w:rFonts w:ascii="Segoe UI" w:hAnsi="Segoe UI" w:cs="Segoe UI"/>
        </w:rPr>
        <w:t xml:space="preserve">Odměna za poskytnutou právní službu uvedenou v čl. 1 této Smlouvy se stanovuje dohodou obou smluvních stran: </w:t>
      </w:r>
      <w:bookmarkEnd w:id="2"/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4071"/>
        <w:gridCol w:w="4615"/>
      </w:tblGrid>
      <w:tr w:rsidR="00CB1D9E" w:rsidRPr="0066799F" w:rsidTr="007F35E7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9E" w:rsidRPr="0066799F" w:rsidRDefault="00CB1D9E" w:rsidP="007F35E7">
            <w:pPr>
              <w:autoSpaceDE/>
              <w:spacing w:line="276" w:lineRule="auto"/>
              <w:rPr>
                <w:rFonts w:ascii="Segoe UI" w:eastAsia="MS UI Gothic" w:hAnsi="Segoe UI" w:cs="Segoe UI"/>
              </w:rPr>
            </w:pPr>
            <w:r w:rsidRPr="0066799F">
              <w:rPr>
                <w:rFonts w:ascii="Segoe UI" w:eastAsia="MS UI Gothic" w:hAnsi="Segoe UI" w:cs="Segoe UI"/>
              </w:rPr>
              <w:t>Cena celkem bez DPH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9E" w:rsidRPr="0066799F" w:rsidRDefault="00CB1D9E" w:rsidP="007F35E7">
            <w:pPr>
              <w:autoSpaceDE/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eastAsia="MS UI Gothic" w:hAnsi="Segoe UI" w:cs="Segoe UI"/>
              </w:rPr>
              <w:t>167.000</w:t>
            </w:r>
            <w:r w:rsidRPr="0066799F">
              <w:rPr>
                <w:rFonts w:ascii="Segoe UI" w:eastAsia="MS UI Gothic" w:hAnsi="Segoe UI" w:cs="Segoe UI"/>
              </w:rPr>
              <w:t>,- Kč</w:t>
            </w:r>
          </w:p>
        </w:tc>
      </w:tr>
      <w:tr w:rsidR="00CB1D9E" w:rsidRPr="0066799F" w:rsidTr="007F35E7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9E" w:rsidRPr="0066799F" w:rsidRDefault="00CB1D9E" w:rsidP="007F35E7">
            <w:pPr>
              <w:autoSpaceDE/>
              <w:spacing w:line="276" w:lineRule="auto"/>
              <w:rPr>
                <w:rFonts w:ascii="Segoe UI" w:eastAsia="MS UI Gothic" w:hAnsi="Segoe UI" w:cs="Segoe UI"/>
              </w:rPr>
            </w:pPr>
            <w:r w:rsidRPr="0066799F">
              <w:rPr>
                <w:rFonts w:ascii="Segoe UI" w:eastAsia="MS UI Gothic" w:hAnsi="Segoe UI" w:cs="Segoe UI"/>
              </w:rPr>
              <w:t>21 % DPH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9E" w:rsidRPr="0066799F" w:rsidRDefault="00CB1D9E" w:rsidP="007F35E7">
            <w:pPr>
              <w:autoSpaceDE/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eastAsia="MS UI Gothic" w:hAnsi="Segoe UI" w:cs="Segoe UI"/>
              </w:rPr>
              <w:t>35.070</w:t>
            </w:r>
            <w:r w:rsidRPr="0066799F">
              <w:rPr>
                <w:rFonts w:ascii="Segoe UI" w:eastAsia="MS UI Gothic" w:hAnsi="Segoe UI" w:cs="Segoe UI"/>
              </w:rPr>
              <w:t>,- Kč</w:t>
            </w:r>
          </w:p>
        </w:tc>
      </w:tr>
      <w:tr w:rsidR="00CB1D9E" w:rsidRPr="0066799F" w:rsidTr="007F35E7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9E" w:rsidRPr="0066799F" w:rsidRDefault="00CB1D9E" w:rsidP="007F35E7">
            <w:pPr>
              <w:autoSpaceDE/>
              <w:spacing w:line="276" w:lineRule="auto"/>
              <w:rPr>
                <w:rFonts w:ascii="Segoe UI" w:eastAsia="MS UI Gothic" w:hAnsi="Segoe UI" w:cs="Segoe UI"/>
              </w:rPr>
            </w:pPr>
            <w:r w:rsidRPr="0066799F">
              <w:rPr>
                <w:rFonts w:ascii="Segoe UI" w:eastAsia="MS UI Gothic" w:hAnsi="Segoe UI" w:cs="Segoe UI"/>
              </w:rPr>
              <w:t>Cena celkem včetně DPH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9E" w:rsidRPr="0066799F" w:rsidRDefault="00CB1D9E" w:rsidP="007F35E7">
            <w:pPr>
              <w:autoSpaceDE/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eastAsia="MS UI Gothic" w:hAnsi="Segoe UI" w:cs="Segoe UI"/>
              </w:rPr>
              <w:t>202.070</w:t>
            </w:r>
            <w:r w:rsidRPr="0066799F">
              <w:rPr>
                <w:rFonts w:ascii="Segoe UI" w:eastAsia="MS UI Gothic" w:hAnsi="Segoe UI" w:cs="Segoe UI"/>
              </w:rPr>
              <w:t>,- Kč</w:t>
            </w:r>
          </w:p>
        </w:tc>
      </w:tr>
    </w:tbl>
    <w:p w:rsidR="00CB1D9E" w:rsidRPr="0066799F" w:rsidRDefault="00CB1D9E" w:rsidP="00CB1D9E">
      <w:pPr>
        <w:autoSpaceDE/>
        <w:spacing w:line="276" w:lineRule="auto"/>
        <w:ind w:left="360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V odměně jsou zahrnuty veškeré náklady spojené s poskytnutím právní služby a celková nabídková cena je cenou nejvýše příp</w:t>
      </w:r>
      <w:r>
        <w:rPr>
          <w:rFonts w:ascii="Segoe UI" w:hAnsi="Segoe UI" w:cs="Segoe UI"/>
        </w:rPr>
        <w:t>ustn</w:t>
      </w:r>
      <w:r w:rsidRPr="0066799F">
        <w:rPr>
          <w:rFonts w:ascii="Segoe UI" w:hAnsi="Segoe UI" w:cs="Segoe UI"/>
        </w:rPr>
        <w:t xml:space="preserve">ou a nepřekročitelnou po celou dobu realizace zakázky, </w:t>
      </w:r>
      <w:r w:rsidRPr="0066799F">
        <w:rPr>
          <w:rFonts w:ascii="Segoe UI" w:eastAsia="MS UI Gothic" w:hAnsi="Segoe UI" w:cs="Segoe UI"/>
        </w:rPr>
        <w:t>kterou je možné měnit pouze v případě změny sazby DPH</w:t>
      </w:r>
      <w:r w:rsidRPr="0066799F">
        <w:rPr>
          <w:rFonts w:ascii="Segoe UI" w:hAnsi="Segoe UI" w:cs="Segoe UI"/>
        </w:rPr>
        <w:t xml:space="preserve">. </w:t>
      </w:r>
    </w:p>
    <w:p w:rsidR="00CB1D9E" w:rsidRPr="0066799F" w:rsidRDefault="00CB1D9E" w:rsidP="00CB1D9E">
      <w:pPr>
        <w:autoSpaceDE/>
        <w:spacing w:line="276" w:lineRule="auto"/>
        <w:ind w:left="360"/>
        <w:rPr>
          <w:rFonts w:ascii="Segoe UI" w:hAnsi="Segoe UI" w:cs="Segoe UI"/>
        </w:rPr>
      </w:pPr>
    </w:p>
    <w:p w:rsidR="00CB1D9E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Celková cena bude zaplacena na základě daňového dokladu – faktury (dále jen „faktura“) až po úplném splnění této zakázky, tj. po ukončení všech činností požadovaných </w:t>
      </w:r>
      <w:r>
        <w:rPr>
          <w:rFonts w:ascii="Segoe UI" w:hAnsi="Segoe UI" w:cs="Segoe UI"/>
        </w:rPr>
        <w:br/>
      </w:r>
      <w:r w:rsidRPr="0066799F">
        <w:rPr>
          <w:rFonts w:ascii="Segoe UI" w:hAnsi="Segoe UI" w:cs="Segoe UI"/>
        </w:rPr>
        <w:t xml:space="preserve">v zadávací dokumentaci – po úplném ukončení zadávacího řízení. Splatnost faktury činí 30 dnů od jejího vystavení. Úhrada ceny bude provedena bezhotovostní platbou z účtu Klienta na účet Advokáta na základě faktury vystavené Advokátem. Klient nepřipouští úhradu ceny (byť i její části) v hotovosti. V případě, že faktura nebude mít náležitosti daňového dokladu nebo nebude obsahovat správné údaje podle této smlouvy, je Klient oprávněn takovou fakturu do dne splatnosti vrátit a Advokát je povinen vystavit fakturu novou. Nevrátí-li Klient v uvedené lhůtě fakturu, má se za to, že vyúčtovanou částku uznal. 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Advokát může odstoupit od této smlouvy, dojde-li k narušení důvěry mezi ním a Klientem, pokud Klient neposkytuje potřebnou součinnost nebo v případě, že je Klient </w:t>
      </w:r>
      <w:r w:rsidRPr="0066799F">
        <w:rPr>
          <w:rFonts w:ascii="Segoe UI" w:hAnsi="Segoe UI" w:cs="Segoe UI"/>
        </w:rPr>
        <w:lastRenderedPageBreak/>
        <w:t xml:space="preserve">v prodlení s plněním svých peněžitých závazků vůči Advokátovi. Povinnost od této smlouvy odstoupit ze zákonných důvodů není dotčena. 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Advokát je povinen zachovávat mlčenlivost o všech skutečnostech, o nichž se dozvěděl v souvislosti s poskytováním právních služeb. Povinnosti může Advokáta zprostit pouze Klient a po jeho smrti či zániku právní nástupce. I poté je však Advokát povinen zachovávat mlčenlivost, pokud je z okolností případu zřejmé, že jej Klient nebo jeho právní nástupce této povinnosti zprostil pod nátlakem nebo v tísni. Povinnost mlčenlivosti se vztahuje i na osoby, které Advokáta zastupují podle článku </w:t>
      </w:r>
      <w:r w:rsidRPr="0066799F">
        <w:rPr>
          <w:rFonts w:ascii="Segoe UI" w:hAnsi="Segoe UI" w:cs="Segoe UI"/>
        </w:rPr>
        <w:fldChar w:fldCharType="begin"/>
      </w:r>
      <w:r w:rsidRPr="0066799F">
        <w:rPr>
          <w:rFonts w:ascii="Segoe UI" w:hAnsi="Segoe UI" w:cs="Segoe UI"/>
        </w:rPr>
        <w:instrText xml:space="preserve"> REF _Ref374817096 \n \h </w:instrText>
      </w:r>
      <w:r>
        <w:rPr>
          <w:rFonts w:ascii="Segoe UI" w:hAnsi="Segoe UI" w:cs="Segoe UI"/>
        </w:rPr>
        <w:instrText xml:space="preserve"> \* MERGEFORMAT </w:instrText>
      </w:r>
      <w:r w:rsidRPr="0066799F">
        <w:rPr>
          <w:rFonts w:ascii="Segoe UI" w:hAnsi="Segoe UI" w:cs="Segoe UI"/>
        </w:rPr>
      </w:r>
      <w:r w:rsidRPr="0066799F">
        <w:rPr>
          <w:rFonts w:ascii="Segoe UI" w:hAnsi="Segoe UI" w:cs="Segoe UI"/>
        </w:rPr>
        <w:fldChar w:fldCharType="separate"/>
      </w:r>
      <w:r w:rsidRPr="0066799F">
        <w:rPr>
          <w:rFonts w:ascii="Segoe UI" w:hAnsi="Segoe UI" w:cs="Segoe UI"/>
        </w:rPr>
        <w:t>7</w:t>
      </w:r>
      <w:r w:rsidRPr="0066799F">
        <w:rPr>
          <w:rFonts w:ascii="Segoe UI" w:hAnsi="Segoe UI" w:cs="Segoe UI"/>
        </w:rPr>
        <w:fldChar w:fldCharType="end"/>
      </w:r>
      <w:r w:rsidRPr="0066799F">
        <w:rPr>
          <w:rFonts w:ascii="Segoe UI" w:hAnsi="Segoe UI" w:cs="Segoe UI"/>
        </w:rPr>
        <w:t xml:space="preserve"> této smlouvy a na zaměstnance Advokáta a další osoby, které Advokát použije v souvislosti s poskytováním právních služeb. Klient však souhlasí s tím, aby Advokát zakázku</w:t>
      </w:r>
      <w:r w:rsidRPr="0066799F">
        <w:rPr>
          <w:rFonts w:ascii="Segoe UI" w:hAnsi="Segoe UI" w:cs="Segoe UI"/>
        </w:rPr>
        <w:br/>
        <w:t>či poradenství realizované na základě této smlouvy uváděl jako svou referenci v nabídkách, a to v rozsahu obchodní firmy Klienta, kontaktní osoby, obecného popisu poskytovaných právních služeb, jejich finančního objemu, pokud je to nezbytné, a doby jejich poskytování.</w:t>
      </w:r>
    </w:p>
    <w:p w:rsidR="00CB1D9E" w:rsidRPr="0066799F" w:rsidRDefault="00CB1D9E" w:rsidP="00CB1D9E">
      <w:pPr>
        <w:autoSpaceDE/>
        <w:spacing w:line="276" w:lineRule="auto"/>
        <w:ind w:left="426"/>
        <w:rPr>
          <w:rFonts w:ascii="Segoe UI" w:hAnsi="Segoe UI" w:cs="Segoe UI"/>
        </w:rPr>
      </w:pPr>
    </w:p>
    <w:p w:rsidR="00CB1D9E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Advokát je povinen zaplatit Klientovi smluvní pokutu ve výši 500,- Kč za každý den prodlení se splněním některé z povinností uvedených v čl. 1 této smlouvy, pokud tato lhůta vyplývá ze zákona či smlouvy.</w:t>
      </w:r>
    </w:p>
    <w:p w:rsidR="00CB1D9E" w:rsidRDefault="00CB1D9E" w:rsidP="00CB1D9E">
      <w:pPr>
        <w:pStyle w:val="Odstavecseseznamem"/>
        <w:rPr>
          <w:rFonts w:ascii="Segoe UI" w:hAnsi="Segoe UI" w:cs="Segoe UI"/>
        </w:rPr>
      </w:pPr>
    </w:p>
    <w:p w:rsidR="00CB1D9E" w:rsidRPr="006C1AB8" w:rsidRDefault="00CB1D9E" w:rsidP="00CB1D9E">
      <w:pPr>
        <w:numPr>
          <w:ilvl w:val="0"/>
          <w:numId w:val="1"/>
        </w:numPr>
        <w:autoSpaceDE/>
        <w:spacing w:line="276" w:lineRule="auto"/>
        <w:ind w:left="426" w:hanging="426"/>
        <w:rPr>
          <w:rFonts w:ascii="Segoe UI" w:hAnsi="Segoe UI" w:cs="Segoe UI"/>
        </w:rPr>
      </w:pPr>
      <w:r w:rsidRPr="006C1AB8">
        <w:rPr>
          <w:rFonts w:ascii="Segoe UI" w:hAnsi="Segoe UI" w:cs="Segoe UI"/>
        </w:rPr>
        <w:t xml:space="preserve">Advokát odpovídá za škodu způsobenou v důsledku svého jednání. Neodpovídá však </w:t>
      </w:r>
      <w:r>
        <w:rPr>
          <w:rFonts w:ascii="Segoe UI" w:hAnsi="Segoe UI" w:cs="Segoe UI"/>
        </w:rPr>
        <w:br/>
      </w:r>
      <w:r w:rsidRPr="006C1AB8">
        <w:rPr>
          <w:rFonts w:ascii="Segoe UI" w:hAnsi="Segoe UI" w:cs="Segoe UI"/>
        </w:rPr>
        <w:t>za škodu nad rámec limitu pojistného plnění sjednaného Advokátem s</w:t>
      </w:r>
      <w:r>
        <w:rPr>
          <w:rFonts w:ascii="Segoe UI" w:hAnsi="Segoe UI" w:cs="Segoe UI"/>
        </w:rPr>
        <w:t> </w:t>
      </w:r>
      <w:r w:rsidRPr="006C1AB8">
        <w:rPr>
          <w:rFonts w:ascii="Segoe UI" w:hAnsi="Segoe UI" w:cs="Segoe UI"/>
        </w:rPr>
        <w:t>příslušnou</w:t>
      </w:r>
      <w:r>
        <w:rPr>
          <w:rFonts w:ascii="Segoe UI" w:hAnsi="Segoe UI" w:cs="Segoe UI"/>
        </w:rPr>
        <w:t xml:space="preserve"> </w:t>
      </w:r>
      <w:r w:rsidRPr="006C1AB8">
        <w:rPr>
          <w:rFonts w:ascii="Segoe UI" w:hAnsi="Segoe UI" w:cs="Segoe UI"/>
        </w:rPr>
        <w:t xml:space="preserve">pojišťovnou v pojistné smlouvě dle zvláštních právních předpisů, tj. nad rámec limitu pojistného plnění v celkové výši 300 mil. Kč a 100 mil. pro jednu pojistnou událost. </w:t>
      </w:r>
    </w:p>
    <w:p w:rsidR="00CB1D9E" w:rsidRPr="0066799F" w:rsidRDefault="00CB1D9E" w:rsidP="00CB1D9E">
      <w:pPr>
        <w:autoSpaceDE/>
        <w:spacing w:line="276" w:lineRule="auto"/>
        <w:ind w:left="357"/>
        <w:rPr>
          <w:rFonts w:ascii="Segoe UI" w:hAnsi="Segoe UI" w:cs="Segoe UI"/>
        </w:rPr>
      </w:pPr>
    </w:p>
    <w:p w:rsidR="00CB1D9E" w:rsidRPr="0066799F" w:rsidRDefault="00CB1D9E" w:rsidP="00CB1D9E">
      <w:pPr>
        <w:numPr>
          <w:ilvl w:val="0"/>
          <w:numId w:val="1"/>
        </w:numPr>
        <w:autoSpaceDE/>
        <w:spacing w:line="276" w:lineRule="auto"/>
        <w:ind w:left="357" w:hanging="357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 xml:space="preserve">Závazek stran založený touto smlouvou se řídí občanským zákoníkem, zákonem o advokacii a advokátním tarifem. </w:t>
      </w:r>
    </w:p>
    <w:p w:rsidR="00CB1D9E" w:rsidRPr="0066799F" w:rsidRDefault="00CB1D9E" w:rsidP="00CB1D9E">
      <w:pPr>
        <w:autoSpaceDE/>
        <w:spacing w:line="276" w:lineRule="auto"/>
        <w:ind w:left="357"/>
        <w:rPr>
          <w:rFonts w:ascii="Segoe UI" w:hAnsi="Segoe UI" w:cs="Segoe UI"/>
        </w:rPr>
      </w:pPr>
    </w:p>
    <w:p w:rsidR="00CB1D9E" w:rsidRDefault="00CB1D9E" w:rsidP="00CB1D9E">
      <w:pPr>
        <w:numPr>
          <w:ilvl w:val="0"/>
          <w:numId w:val="1"/>
        </w:numPr>
        <w:autoSpaceDE/>
        <w:spacing w:line="276" w:lineRule="auto"/>
        <w:ind w:left="357" w:hanging="357"/>
        <w:rPr>
          <w:rFonts w:ascii="Segoe UI" w:hAnsi="Segoe UI" w:cs="Segoe UI"/>
        </w:rPr>
      </w:pPr>
      <w:r w:rsidRPr="0066799F">
        <w:rPr>
          <w:rFonts w:ascii="Segoe UI" w:hAnsi="Segoe UI" w:cs="Segoe UI"/>
        </w:rPr>
        <w:t>Tato smlouva byla vyhotovena ve dvou vyhotoveních s tím, že každá strana obdrží jedno vyhotovení.</w:t>
      </w:r>
    </w:p>
    <w:p w:rsidR="00CB1D9E" w:rsidRDefault="00CB1D9E" w:rsidP="00CB1D9E">
      <w:pPr>
        <w:pStyle w:val="Odstavecseseznamem"/>
        <w:rPr>
          <w:rFonts w:ascii="Segoe UI" w:hAnsi="Segoe UI" w:cs="Segoe UI"/>
        </w:rPr>
      </w:pPr>
    </w:p>
    <w:p w:rsidR="00CB1D9E" w:rsidRPr="006C1AB8" w:rsidRDefault="00CB1D9E" w:rsidP="00CB1D9E">
      <w:pPr>
        <w:numPr>
          <w:ilvl w:val="0"/>
          <w:numId w:val="1"/>
        </w:numPr>
        <w:autoSpaceDE/>
        <w:spacing w:line="276" w:lineRule="auto"/>
        <w:ind w:left="357" w:hanging="357"/>
        <w:rPr>
          <w:rFonts w:ascii="Segoe UI" w:hAnsi="Segoe UI" w:cs="Segoe UI"/>
        </w:rPr>
      </w:pPr>
      <w:r w:rsidRPr="006C1AB8">
        <w:rPr>
          <w:rFonts w:ascii="Segoe UI" w:hAnsi="Segoe UI" w:cs="Segoe UI"/>
        </w:rPr>
        <w:t>Smlouva nabývá účinnosti dnem podpisu oběma smluvními stranami.</w:t>
      </w:r>
    </w:p>
    <w:p w:rsidR="00CB1D9E" w:rsidRPr="0066799F" w:rsidRDefault="00CB1D9E" w:rsidP="00CB1D9E">
      <w:pPr>
        <w:autoSpaceDE/>
        <w:spacing w:line="276" w:lineRule="auto"/>
        <w:ind w:left="357"/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26"/>
      </w:tblGrid>
      <w:tr w:rsidR="00CB1D9E" w:rsidRPr="0066799F" w:rsidTr="007F35E7">
        <w:tc>
          <w:tcPr>
            <w:tcW w:w="4526" w:type="dxa"/>
            <w:shd w:val="clear" w:color="auto" w:fill="auto"/>
          </w:tcPr>
          <w:p w:rsidR="00CB1D9E" w:rsidRPr="0066799F" w:rsidRDefault="00CB1D9E" w:rsidP="007F35E7">
            <w:pPr>
              <w:spacing w:line="276" w:lineRule="auto"/>
              <w:ind w:left="720" w:hanging="720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>V Brně dne</w:t>
            </w:r>
          </w:p>
          <w:p w:rsidR="00CB1D9E" w:rsidRPr="0066799F" w:rsidRDefault="00CB1D9E" w:rsidP="007F35E7">
            <w:pPr>
              <w:spacing w:line="276" w:lineRule="auto"/>
              <w:ind w:left="720" w:hanging="7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526" w:type="dxa"/>
            <w:shd w:val="clear" w:color="auto" w:fill="auto"/>
          </w:tcPr>
          <w:p w:rsidR="00CB1D9E" w:rsidRPr="0066799F" w:rsidRDefault="00CB1D9E" w:rsidP="00CB1D9E">
            <w:pPr>
              <w:spacing w:line="276" w:lineRule="auto"/>
              <w:ind w:left="294"/>
              <w:jc w:val="left"/>
              <w:rPr>
                <w:rFonts w:ascii="Segoe UI" w:hAnsi="Segoe UI" w:cs="Segoe UI"/>
              </w:rPr>
            </w:pPr>
            <w:r>
              <w:rPr>
                <w:rFonts w:ascii="Segoe UI" w:eastAsia="MS UI Gothic" w:hAnsi="Segoe UI" w:cs="Segoe UI"/>
              </w:rPr>
              <w:t xml:space="preserve">V Brně dne </w:t>
            </w:r>
          </w:p>
        </w:tc>
      </w:tr>
      <w:tr w:rsidR="00CB1D9E" w:rsidRPr="0066799F" w:rsidTr="007F35E7">
        <w:tc>
          <w:tcPr>
            <w:tcW w:w="4526" w:type="dxa"/>
            <w:shd w:val="clear" w:color="auto" w:fill="auto"/>
          </w:tcPr>
          <w:p w:rsidR="00CB1D9E" w:rsidRPr="0066799F" w:rsidRDefault="00CB1D9E" w:rsidP="007F35E7">
            <w:pPr>
              <w:spacing w:line="276" w:lineRule="auto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>______________________________</w:t>
            </w:r>
          </w:p>
          <w:p w:rsidR="00CB1D9E" w:rsidRPr="0066799F" w:rsidRDefault="00CB1D9E" w:rsidP="007F35E7">
            <w:pPr>
              <w:spacing w:line="276" w:lineRule="auto"/>
              <w:jc w:val="left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>Ing. Libuše Nivnická</w:t>
            </w:r>
          </w:p>
          <w:p w:rsidR="00CB1D9E" w:rsidRPr="0066799F" w:rsidRDefault="00CB1D9E" w:rsidP="007F35E7">
            <w:pPr>
              <w:spacing w:line="276" w:lineRule="auto"/>
              <w:jc w:val="left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>ředitelka</w:t>
            </w:r>
          </w:p>
          <w:p w:rsidR="00CB1D9E" w:rsidRPr="0066799F" w:rsidRDefault="00CB1D9E" w:rsidP="007F35E7">
            <w:pPr>
              <w:ind w:left="3540" w:hanging="3540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>Knihovna Jiřího Mahena v Brně,</w:t>
            </w:r>
          </w:p>
          <w:p w:rsidR="00CB1D9E" w:rsidRPr="0066799F" w:rsidRDefault="00CB1D9E" w:rsidP="00CB1D9E">
            <w:pPr>
              <w:ind w:left="3540" w:hanging="3540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>příspěvková organizace</w:t>
            </w:r>
          </w:p>
        </w:tc>
        <w:tc>
          <w:tcPr>
            <w:tcW w:w="4526" w:type="dxa"/>
            <w:shd w:val="clear" w:color="auto" w:fill="auto"/>
          </w:tcPr>
          <w:p w:rsidR="00CB1D9E" w:rsidRPr="0066799F" w:rsidRDefault="00CB1D9E" w:rsidP="007F35E7">
            <w:pPr>
              <w:spacing w:line="276" w:lineRule="auto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 xml:space="preserve">     _______________________________</w:t>
            </w:r>
          </w:p>
          <w:p w:rsidR="00CB1D9E" w:rsidRPr="0066799F" w:rsidRDefault="00CB1D9E" w:rsidP="007F35E7">
            <w:pPr>
              <w:spacing w:line="276" w:lineRule="auto"/>
              <w:ind w:left="294"/>
              <w:jc w:val="left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 xml:space="preserve">Mgr. Milan Šebesta, </w:t>
            </w:r>
            <w:proofErr w:type="gramStart"/>
            <w:r w:rsidRPr="0066799F">
              <w:rPr>
                <w:rFonts w:ascii="Segoe UI" w:hAnsi="Segoe UI" w:cs="Segoe UI"/>
              </w:rPr>
              <w:t>LL.M.</w:t>
            </w:r>
            <w:proofErr w:type="gramEnd"/>
          </w:p>
          <w:p w:rsidR="00CB1D9E" w:rsidRPr="0066799F" w:rsidRDefault="00CB1D9E" w:rsidP="007F35E7">
            <w:pPr>
              <w:spacing w:line="276" w:lineRule="auto"/>
              <w:ind w:left="294"/>
              <w:jc w:val="left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>jednatel</w:t>
            </w:r>
          </w:p>
          <w:p w:rsidR="00CB1D9E" w:rsidRPr="0066799F" w:rsidRDefault="00CB1D9E" w:rsidP="007F35E7">
            <w:pPr>
              <w:spacing w:line="276" w:lineRule="auto"/>
              <w:ind w:firstLine="294"/>
              <w:jc w:val="left"/>
              <w:rPr>
                <w:rFonts w:ascii="Segoe UI" w:hAnsi="Segoe UI" w:cs="Segoe UI"/>
              </w:rPr>
            </w:pPr>
            <w:r w:rsidRPr="0066799F">
              <w:rPr>
                <w:rFonts w:ascii="Segoe UI" w:hAnsi="Segoe UI" w:cs="Segoe UI"/>
              </w:rPr>
              <w:t>MT Legal s.r.o., advokátní kancelář</w:t>
            </w:r>
          </w:p>
        </w:tc>
      </w:tr>
    </w:tbl>
    <w:p w:rsidR="00224B38" w:rsidRDefault="00224B38" w:rsidP="00CB1D9E">
      <w:pPr>
        <w:spacing w:line="240" w:lineRule="auto"/>
      </w:pPr>
    </w:p>
    <w:sectPr w:rsidR="00224B38" w:rsidSect="00CB1D9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1BC84BD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66D41EAC"/>
    <w:multiLevelType w:val="hybridMultilevel"/>
    <w:tmpl w:val="CC00A338"/>
    <w:lvl w:ilvl="0" w:tplc="00000006">
      <w:start w:val="217"/>
      <w:numFmt w:val="bullet"/>
      <w:lvlText w:val="-"/>
      <w:lvlJc w:val="left"/>
      <w:pPr>
        <w:ind w:left="1429" w:hanging="360"/>
      </w:pPr>
      <w:rPr>
        <w:rFonts w:ascii="Palatino Linotype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9E"/>
    <w:rsid w:val="00030A7B"/>
    <w:rsid w:val="000C6181"/>
    <w:rsid w:val="001649E3"/>
    <w:rsid w:val="00224B38"/>
    <w:rsid w:val="003F2914"/>
    <w:rsid w:val="004B68D4"/>
    <w:rsid w:val="0066388E"/>
    <w:rsid w:val="007F2BEB"/>
    <w:rsid w:val="009C740F"/>
    <w:rsid w:val="00CB1D9E"/>
    <w:rsid w:val="00DF11FF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901C5-C064-48DE-82EC-487B38B7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D9E"/>
    <w:pPr>
      <w:suppressAutoHyphens/>
      <w:autoSpaceDE w:val="0"/>
      <w:spacing w:after="0" w:line="32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CB1D9E"/>
    <w:pPr>
      <w:ind w:left="708"/>
    </w:pPr>
  </w:style>
  <w:style w:type="paragraph" w:customStyle="1" w:styleId="Zkladntextodsazen21">
    <w:name w:val="Základní text odsazený 21"/>
    <w:basedOn w:val="Normln"/>
    <w:rsid w:val="00CB1D9E"/>
    <w:pPr>
      <w:ind w:left="993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CB1D9E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Zapletalová</dc:creator>
  <cp:lastModifiedBy>Sekretariat</cp:lastModifiedBy>
  <cp:revision>2</cp:revision>
  <dcterms:created xsi:type="dcterms:W3CDTF">2017-07-31T07:28:00Z</dcterms:created>
  <dcterms:modified xsi:type="dcterms:W3CDTF">2017-07-31T07:28:00Z</dcterms:modified>
</cp:coreProperties>
</file>