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5424"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523DD832"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299BDE51" w14:textId="77777777" w:rsidR="003A045F" w:rsidRPr="00EF3CDF" w:rsidRDefault="003A045F" w:rsidP="008B63D9">
      <w:pPr>
        <w:spacing w:after="0" w:line="240" w:lineRule="auto"/>
        <w:ind w:left="284" w:right="260"/>
        <w:jc w:val="both"/>
        <w:rPr>
          <w:rFonts w:cs="Arial"/>
        </w:rPr>
      </w:pPr>
      <w:r w:rsidRPr="00EF3CDF">
        <w:rPr>
          <w:rFonts w:cs="Arial"/>
        </w:rPr>
        <w:t>IČ: 24146978, DIČ: CZ24146978,</w:t>
      </w:r>
    </w:p>
    <w:p w14:paraId="5BAC8F55" w14:textId="293073C1" w:rsidR="003A045F" w:rsidRPr="00EF3CDF" w:rsidRDefault="003A045F" w:rsidP="008B63D9">
      <w:pPr>
        <w:spacing w:after="0" w:line="240" w:lineRule="auto"/>
        <w:ind w:left="284" w:right="260"/>
        <w:jc w:val="both"/>
        <w:rPr>
          <w:rFonts w:cs="Arial"/>
        </w:rPr>
      </w:pPr>
      <w:r w:rsidRPr="00EF3CDF">
        <w:rPr>
          <w:rFonts w:cs="Arial"/>
        </w:rPr>
        <w:t xml:space="preserve">zastoupena </w:t>
      </w:r>
      <w:proofErr w:type="spellStart"/>
      <w:r w:rsidR="00FC0778" w:rsidRPr="00FC0778">
        <w:rPr>
          <w:rFonts w:cs="Arial"/>
          <w:highlight w:val="black"/>
        </w:rPr>
        <w:t>xxxxxxxxxxxx</w:t>
      </w:r>
      <w:proofErr w:type="spellEnd"/>
    </w:p>
    <w:p w14:paraId="06039BC8" w14:textId="77777777" w:rsidR="00960A36" w:rsidRPr="00EF3CDF" w:rsidRDefault="00960A36" w:rsidP="008B63D9">
      <w:pPr>
        <w:spacing w:after="0" w:line="240" w:lineRule="auto"/>
        <w:ind w:left="284" w:right="260"/>
        <w:jc w:val="both"/>
        <w:rPr>
          <w:rFonts w:cs="Arial"/>
        </w:rPr>
      </w:pPr>
      <w:r w:rsidRPr="00EF3CDF">
        <w:rPr>
          <w:rFonts w:cs="Arial"/>
        </w:rPr>
        <w:t xml:space="preserve">bankovní spojení: </w:t>
      </w:r>
      <w:r w:rsidRPr="00EF3CDF">
        <w:rPr>
          <w:rStyle w:val="platne1"/>
          <w:rFonts w:cs="Arial"/>
        </w:rPr>
        <w:t xml:space="preserve">3189313046/2700, </w:t>
      </w:r>
      <w:proofErr w:type="spellStart"/>
      <w:r w:rsidRPr="00EF3CDF">
        <w:rPr>
          <w:rStyle w:val="platne1"/>
          <w:rFonts w:cs="Arial"/>
        </w:rPr>
        <w:t>UniCredit</w:t>
      </w:r>
      <w:proofErr w:type="spellEnd"/>
      <w:r w:rsidRPr="00EF3CDF">
        <w:rPr>
          <w:rStyle w:val="platne1"/>
          <w:rFonts w:cs="Arial"/>
        </w:rPr>
        <w:t xml:space="preserve"> Bank Czech Republic, a.s., </w:t>
      </w:r>
    </w:p>
    <w:p w14:paraId="537BEA59" w14:textId="77777777" w:rsidR="003A045F" w:rsidRPr="00EF3CDF" w:rsidRDefault="003A045F" w:rsidP="008B63D9">
      <w:pPr>
        <w:spacing w:after="0" w:line="240" w:lineRule="auto"/>
        <w:ind w:left="284" w:right="260"/>
        <w:jc w:val="both"/>
        <w:rPr>
          <w:rFonts w:cs="Arial"/>
        </w:rPr>
      </w:pPr>
      <w:r w:rsidRPr="00EF3CDF">
        <w:rPr>
          <w:rFonts w:cs="Arial"/>
        </w:rPr>
        <w:t xml:space="preserve">zapsané v obchodním rejstříku vedeném Městským soudem v Praze, odd. C, </w:t>
      </w:r>
      <w:proofErr w:type="spellStart"/>
      <w:r w:rsidRPr="00EF3CDF">
        <w:rPr>
          <w:rFonts w:cs="Arial"/>
        </w:rPr>
        <w:t>vl</w:t>
      </w:r>
      <w:proofErr w:type="spellEnd"/>
      <w:r w:rsidRPr="00EF3CDF">
        <w:rPr>
          <w:rFonts w:cs="Arial"/>
        </w:rPr>
        <w:t>. 182960,</w:t>
      </w:r>
    </w:p>
    <w:p w14:paraId="53DA35FE"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75562D0F" w14:textId="77777777" w:rsidR="003A045F" w:rsidRDefault="003A045F" w:rsidP="008B63D9">
      <w:pPr>
        <w:spacing w:before="240" w:after="0" w:line="240" w:lineRule="auto"/>
        <w:ind w:left="284" w:right="260"/>
        <w:jc w:val="both"/>
        <w:rPr>
          <w:rFonts w:cs="Arial"/>
        </w:rPr>
      </w:pPr>
      <w:r w:rsidRPr="00EF3CDF">
        <w:rPr>
          <w:rFonts w:cs="Arial"/>
        </w:rPr>
        <w:t>a</w:t>
      </w:r>
    </w:p>
    <w:p w14:paraId="3933686F" w14:textId="77777777" w:rsidR="00E2657F" w:rsidRPr="00EF3CDF" w:rsidRDefault="00E2657F" w:rsidP="008B63D9">
      <w:pPr>
        <w:spacing w:before="240" w:after="0" w:line="240" w:lineRule="auto"/>
        <w:ind w:left="284" w:right="260"/>
        <w:jc w:val="both"/>
        <w:rPr>
          <w:rFonts w:cs="Arial"/>
        </w:rPr>
      </w:pPr>
    </w:p>
    <w:p w14:paraId="6541FDC4" w14:textId="77777777" w:rsidR="00E2657F" w:rsidRDefault="00E2657F" w:rsidP="00E2657F">
      <w:pPr>
        <w:spacing w:after="0" w:line="240" w:lineRule="auto"/>
        <w:ind w:left="284" w:right="260"/>
        <w:jc w:val="both"/>
        <w:rPr>
          <w:b/>
        </w:rPr>
      </w:pPr>
      <w:r w:rsidRPr="00E2657F">
        <w:rPr>
          <w:b/>
        </w:rPr>
        <w:t xml:space="preserve">Česká </w:t>
      </w:r>
      <w:proofErr w:type="gramStart"/>
      <w:r w:rsidRPr="00E2657F">
        <w:rPr>
          <w:b/>
        </w:rPr>
        <w:t>republika - Krajské</w:t>
      </w:r>
      <w:proofErr w:type="gramEnd"/>
      <w:r w:rsidRPr="00E2657F">
        <w:rPr>
          <w:b/>
        </w:rPr>
        <w:t xml:space="preserve"> státní zastupitelství Ústí nad Labem, </w:t>
      </w:r>
    </w:p>
    <w:p w14:paraId="3D1727C4" w14:textId="77777777" w:rsidR="00E2657F" w:rsidRPr="00E2657F" w:rsidRDefault="00E2657F" w:rsidP="00E2657F">
      <w:pPr>
        <w:spacing w:after="0" w:line="240" w:lineRule="auto"/>
        <w:ind w:left="284" w:right="260"/>
        <w:jc w:val="both"/>
        <w:rPr>
          <w:bCs/>
        </w:rPr>
      </w:pPr>
      <w:r w:rsidRPr="00E2657F">
        <w:rPr>
          <w:bCs/>
        </w:rPr>
        <w:t xml:space="preserve">se sídlem Dlouhá 1/12, Ústí nad Labem-město, PSČ 400 01, </w:t>
      </w:r>
    </w:p>
    <w:p w14:paraId="66E1FF82" w14:textId="77777777" w:rsidR="00E2657F" w:rsidRPr="00E2657F" w:rsidRDefault="00E2657F" w:rsidP="00E2657F">
      <w:pPr>
        <w:spacing w:after="0" w:line="240" w:lineRule="auto"/>
        <w:ind w:left="284" w:right="260"/>
        <w:jc w:val="both"/>
        <w:rPr>
          <w:bCs/>
        </w:rPr>
      </w:pPr>
      <w:r w:rsidRPr="00E2657F">
        <w:rPr>
          <w:bCs/>
        </w:rPr>
        <w:t xml:space="preserve">IČ: 00026042, </w:t>
      </w:r>
    </w:p>
    <w:p w14:paraId="727F280D" w14:textId="5D76697E" w:rsidR="00401023" w:rsidRPr="00E2657F" w:rsidRDefault="00E2657F" w:rsidP="00E2657F">
      <w:pPr>
        <w:spacing w:after="0" w:line="240" w:lineRule="auto"/>
        <w:ind w:left="284" w:right="260"/>
        <w:jc w:val="both"/>
        <w:rPr>
          <w:bCs/>
        </w:rPr>
      </w:pPr>
      <w:r w:rsidRPr="00E2657F">
        <w:rPr>
          <w:bCs/>
        </w:rPr>
        <w:t xml:space="preserve">zastoupena </w:t>
      </w:r>
      <w:proofErr w:type="spellStart"/>
      <w:r w:rsidR="00FC0778" w:rsidRPr="00FC0778">
        <w:rPr>
          <w:bCs/>
          <w:highlight w:val="black"/>
        </w:rPr>
        <w:t>xxxxxxxxxxxxxxx</w:t>
      </w:r>
      <w:proofErr w:type="spellEnd"/>
    </w:p>
    <w:p w14:paraId="29E3CA78" w14:textId="3EA246B3" w:rsidR="00A007AF" w:rsidRDefault="00A007AF" w:rsidP="00A007AF">
      <w:pPr>
        <w:spacing w:after="0" w:line="240" w:lineRule="auto"/>
        <w:ind w:left="284" w:right="260"/>
        <w:jc w:val="both"/>
        <w:rPr>
          <w:rFonts w:cs="Arial"/>
          <w:b/>
        </w:rPr>
      </w:pPr>
      <w:r>
        <w:rPr>
          <w:rFonts w:cs="Arial"/>
        </w:rPr>
        <w:t xml:space="preserve">dále jen </w:t>
      </w:r>
      <w:r>
        <w:rPr>
          <w:rFonts w:cs="Arial"/>
          <w:b/>
        </w:rPr>
        <w:t>„uživatel“</w:t>
      </w:r>
    </w:p>
    <w:p w14:paraId="22DB1617" w14:textId="77777777" w:rsidR="00A007AF" w:rsidRDefault="00A007AF" w:rsidP="00A007AF">
      <w:pPr>
        <w:spacing w:after="0" w:line="240" w:lineRule="auto"/>
        <w:ind w:left="284" w:right="260"/>
        <w:jc w:val="both"/>
        <w:rPr>
          <w:rFonts w:cs="Arial"/>
        </w:rPr>
      </w:pPr>
    </w:p>
    <w:p w14:paraId="49EB488C" w14:textId="77777777" w:rsidR="00E11940" w:rsidRDefault="00E11940" w:rsidP="00E11940">
      <w:pPr>
        <w:spacing w:after="0" w:line="240" w:lineRule="auto"/>
        <w:ind w:left="284" w:right="260"/>
        <w:jc w:val="both"/>
        <w:rPr>
          <w:rFonts w:cs="Arial"/>
        </w:rPr>
      </w:pPr>
      <w:r>
        <w:rPr>
          <w:rFonts w:cs="Arial"/>
        </w:rPr>
        <w:t>uzavírají tuto smlouvu:</w:t>
      </w:r>
    </w:p>
    <w:p w14:paraId="624AF4AE" w14:textId="77777777" w:rsidR="00E11940" w:rsidRDefault="00E11940" w:rsidP="00E11940">
      <w:pPr>
        <w:spacing w:after="0" w:line="240" w:lineRule="auto"/>
        <w:ind w:left="284" w:right="260"/>
        <w:jc w:val="both"/>
        <w:rPr>
          <w:rFonts w:cs="Arial"/>
        </w:rPr>
      </w:pPr>
    </w:p>
    <w:p w14:paraId="70999E89" w14:textId="77777777" w:rsidR="00E11940" w:rsidRDefault="00E11940" w:rsidP="00E11940">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5063DA1D" w14:textId="77777777" w:rsidR="00E11940" w:rsidRDefault="00E11940" w:rsidP="00E11940">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21B37D8D" w14:textId="431DDA4F"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Právní vztahy mezi uživatelem a poskytovatelem se řídí touto smlouvou a všeobecnými obchodními p</w:t>
      </w:r>
      <w:r w:rsidR="00727E2B">
        <w:rPr>
          <w:rFonts w:cs="Arial"/>
        </w:rPr>
        <w:t>odmínkami poskytovatele, verze 5</w:t>
      </w:r>
      <w:r>
        <w:rPr>
          <w:rFonts w:cs="Arial"/>
        </w:rPr>
        <w:t>/20</w:t>
      </w:r>
      <w:r w:rsidR="00727E2B">
        <w:rPr>
          <w:rFonts w:cs="Arial"/>
        </w:rPr>
        <w:t>22</w:t>
      </w:r>
      <w:r>
        <w:rPr>
          <w:rFonts w:cs="Arial"/>
        </w:rPr>
        <w:t xml:space="preserve"> (dále jen </w:t>
      </w:r>
      <w:r>
        <w:rPr>
          <w:rFonts w:cs="Arial"/>
          <w:b/>
        </w:rPr>
        <w:t>„VOP“</w:t>
      </w:r>
      <w:r>
        <w:rPr>
          <w:rFonts w:cs="Arial"/>
        </w:rPr>
        <w:t xml:space="preserve">) a „Informacemi o zpracování osobních údajů“ (dále jen </w:t>
      </w:r>
      <w:r w:rsidR="00BF7554">
        <w:rPr>
          <w:rFonts w:cs="Arial"/>
          <w:b/>
        </w:rPr>
        <w:t>„IZ</w:t>
      </w:r>
      <w:r>
        <w:rPr>
          <w:rFonts w:cs="Arial"/>
          <w:b/>
        </w:rPr>
        <w:t>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7DE45D17" w14:textId="77777777" w:rsidR="00E11940" w:rsidRDefault="00E11940" w:rsidP="00E11940">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3CD43783" w14:textId="77777777" w:rsidR="00E11940" w:rsidRDefault="00E11940" w:rsidP="008F68A9">
      <w:pPr>
        <w:pStyle w:val="Odstavecseseznamem"/>
        <w:numPr>
          <w:ilvl w:val="0"/>
          <w:numId w:val="11"/>
        </w:numPr>
        <w:spacing w:after="0" w:line="240" w:lineRule="auto"/>
        <w:ind w:left="709" w:right="260" w:hanging="425"/>
        <w:jc w:val="both"/>
        <w:rPr>
          <w:rFonts w:cs="Arial"/>
          <w:b/>
        </w:rPr>
      </w:pPr>
      <w:r>
        <w:rPr>
          <w:rFonts w:cs="Arial"/>
          <w:b/>
        </w:rPr>
        <w:t>Předmět smlouvy</w:t>
      </w:r>
    </w:p>
    <w:p w14:paraId="1E6DFF46" w14:textId="77777777" w:rsidR="00401023" w:rsidRPr="00401023" w:rsidRDefault="00401023" w:rsidP="008F68A9">
      <w:pPr>
        <w:spacing w:after="0" w:line="240" w:lineRule="auto"/>
        <w:ind w:left="709" w:right="260" w:hanging="425"/>
        <w:jc w:val="both"/>
        <w:rPr>
          <w:rFonts w:cs="Arial"/>
          <w:bCs/>
        </w:rPr>
      </w:pPr>
      <w:r w:rsidRPr="00401023">
        <w:rPr>
          <w:rFonts w:cs="Arial"/>
          <w:bCs/>
        </w:rPr>
        <w:t xml:space="preserve">2.1. Poskytovatel poskytuje uživateli právo na přístup do Beck-online a právo Beck-online užívat (dále jen „licence“) a uživatel se zavazuje za užívání Beck-online platit poskytovateli odměnu stanovenou v Příloze, která je nedílnou součástí této smlouvy. </w:t>
      </w:r>
    </w:p>
    <w:p w14:paraId="5C97229A" w14:textId="77777777" w:rsidR="00401023" w:rsidRPr="00401023" w:rsidRDefault="00401023" w:rsidP="008F68A9">
      <w:pPr>
        <w:spacing w:after="0" w:line="240" w:lineRule="auto"/>
        <w:ind w:left="709" w:right="260" w:hanging="425"/>
        <w:jc w:val="both"/>
        <w:rPr>
          <w:rFonts w:cs="Arial"/>
          <w:bCs/>
        </w:rPr>
      </w:pPr>
      <w:r w:rsidRPr="00401023">
        <w:rPr>
          <w:rFonts w:cs="Arial"/>
          <w:bCs/>
        </w:rPr>
        <w:t xml:space="preserve">2.2. Uživatel je oprávněn k Beck-online přistupovat a užívat ho výlučně prostřednictvím uživatelských účtů zřizovaných uživateli poskytovatelem, a to na základě uživatelského jména a hesla uživatele (dále jen „uživatelský účet“). Uživatelským jménem je e-mailová adresa vázaná na konkrétní osobu zaměstnance uživatele poskytnutá uživatelem poskytovateli. </w:t>
      </w:r>
    </w:p>
    <w:p w14:paraId="75EF64BA" w14:textId="78588B2D" w:rsidR="00401023" w:rsidRPr="00401023" w:rsidRDefault="00401023" w:rsidP="008F68A9">
      <w:pPr>
        <w:spacing w:after="0" w:line="240" w:lineRule="auto"/>
        <w:ind w:left="709" w:right="260" w:hanging="425"/>
        <w:jc w:val="both"/>
        <w:rPr>
          <w:rFonts w:cs="Arial"/>
          <w:bCs/>
        </w:rPr>
      </w:pPr>
      <w:r w:rsidRPr="00401023">
        <w:rPr>
          <w:rFonts w:cs="Arial"/>
          <w:bCs/>
        </w:rPr>
        <w:t xml:space="preserve">2.3. Poskytovatel se zavazuje zřídit uživateli uživatelský účet nejpozději k prvnímu dni prvního období, avšak nikoli dříve, než mu byla uhrazena v plné výši odměna za první období. Poskytovatel poskytne nový uživatelský přístup nejpozději do 5 pracovních dnů od odeslání žádosti uživatele na email: beckonline@beck.cz, ve stejné lhůtě </w:t>
      </w:r>
      <w:proofErr w:type="gramStart"/>
      <w:r w:rsidRPr="00401023">
        <w:rPr>
          <w:rFonts w:cs="Arial"/>
          <w:bCs/>
        </w:rPr>
        <w:t>zruší</w:t>
      </w:r>
      <w:proofErr w:type="gramEnd"/>
      <w:r w:rsidRPr="00401023">
        <w:rPr>
          <w:rFonts w:cs="Arial"/>
          <w:bCs/>
        </w:rPr>
        <w:t xml:space="preserve"> podle žádosti uživatele uživatelský přístup. </w:t>
      </w:r>
      <w:r w:rsidR="00BC5A7D">
        <w:rPr>
          <w:rFonts w:cs="Arial"/>
          <w:bCs/>
        </w:rPr>
        <w:t>Dosavadní uživatelské účty zůstávají zachovány.</w:t>
      </w:r>
    </w:p>
    <w:p w14:paraId="431D0691" w14:textId="2D1767A1" w:rsidR="00401023" w:rsidRPr="00401023" w:rsidRDefault="00401023" w:rsidP="008F68A9">
      <w:pPr>
        <w:spacing w:after="0" w:line="240" w:lineRule="auto"/>
        <w:ind w:left="709" w:right="260" w:hanging="425"/>
        <w:jc w:val="both"/>
        <w:rPr>
          <w:rFonts w:cs="Arial"/>
          <w:bCs/>
        </w:rPr>
      </w:pPr>
      <w:r w:rsidRPr="00401023">
        <w:rPr>
          <w:rFonts w:cs="Arial"/>
          <w:bCs/>
        </w:rPr>
        <w:t>2.4. Rozsah licence specifikuje Příloha, přičemž další podmínky užívání licence jsou upraveny ve VOP.</w:t>
      </w:r>
    </w:p>
    <w:p w14:paraId="6FA2DD04" w14:textId="77777777" w:rsidR="00862F0D" w:rsidRDefault="00862F0D" w:rsidP="00862F0D">
      <w:pPr>
        <w:pStyle w:val="Odstavecseseznamem"/>
        <w:spacing w:before="80" w:after="0" w:line="240" w:lineRule="auto"/>
        <w:ind w:left="709" w:right="260"/>
        <w:jc w:val="both"/>
        <w:rPr>
          <w:rFonts w:cs="Arial"/>
        </w:rPr>
      </w:pPr>
    </w:p>
    <w:p w14:paraId="14D4D6D1"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Platební podmínky</w:t>
      </w:r>
    </w:p>
    <w:p w14:paraId="4441C3DA" w14:textId="77777777"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 xml:space="preserve">Za užívání Beck-online se uživatel zavazuje platit poskytovateli odměnu, jejíž výše se odvíjí od rozsahu licence uvedeného v Příloze (dále jen </w:t>
      </w:r>
      <w:r>
        <w:rPr>
          <w:rFonts w:cs="Arial"/>
          <w:b/>
        </w:rPr>
        <w:t>„odměna“</w:t>
      </w:r>
      <w:r>
        <w:rPr>
          <w:rFonts w:cs="Arial"/>
        </w:rPr>
        <w:t>).</w:t>
      </w:r>
    </w:p>
    <w:p w14:paraId="2A035751" w14:textId="32D814CF"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Fakturu je poskytovatel oprávněn vystavit nejdříve dva měsíce před začátkem období. Elektronická faktura bude zasílána na email: </w:t>
      </w:r>
      <w:r w:rsidR="004505F6" w:rsidRPr="004505F6">
        <w:rPr>
          <w:rFonts w:cs="Arial"/>
        </w:rPr>
        <w:t>podatelna@ksz.unl.justice.cz</w:t>
      </w:r>
      <w:r w:rsidR="00401023">
        <w:rPr>
          <w:rFonts w:cs="Arial"/>
        </w:rPr>
        <w:t>.</w:t>
      </w:r>
      <w:r w:rsidR="00401023" w:rsidRPr="00401023">
        <w:rPr>
          <w:rFonts w:cs="Arial"/>
        </w:rPr>
        <w:t xml:space="preserve"> </w:t>
      </w:r>
      <w:r>
        <w:rPr>
          <w:rFonts w:cs="Arial"/>
        </w:rPr>
        <w:t xml:space="preserve">O případné změně emailové adresy je uživatel povinen poskytovatele bezodkladně písemnou formou informovat. </w:t>
      </w:r>
    </w:p>
    <w:p w14:paraId="5D397F16" w14:textId="75A60875"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lastRenderedPageBreak/>
        <w:t xml:space="preserve">Faktura je splatná do </w:t>
      </w:r>
      <w:bookmarkStart w:id="0" w:name="splatnost"/>
      <w:bookmarkEnd w:id="0"/>
      <w:r w:rsidR="00CB41D7">
        <w:rPr>
          <w:rFonts w:cs="Arial"/>
        </w:rPr>
        <w:t>14</w:t>
      </w:r>
      <w:r w:rsidR="00401023">
        <w:rPr>
          <w:rFonts w:cs="Arial"/>
        </w:rPr>
        <w:t xml:space="preserve"> </w:t>
      </w:r>
      <w:r>
        <w:rPr>
          <w:rFonts w:cs="Arial"/>
        </w:rPr>
        <w:t xml:space="preserve">dnů od jejího doručení uživateli. Při prodlení s úhradou faktury je poskytovatel oprávněn přístup k Beck-online přerušit až do vyrovnání pohledávky. Pozastavením přístupu do </w:t>
      </w:r>
      <w:r>
        <w:rPr>
          <w:rFonts w:cs="Arial"/>
        </w:rPr>
        <w:br/>
        <w:t>Beck-online však nezaniká právo Poskytovatele na úhradu Odměny i za dobu, během které nebyla tato služba poskytována.</w:t>
      </w:r>
    </w:p>
    <w:p w14:paraId="01CD65D5" w14:textId="77777777" w:rsidR="00E11940" w:rsidRDefault="00E11940" w:rsidP="00E11940">
      <w:pPr>
        <w:pStyle w:val="Odstavecseseznamem"/>
        <w:spacing w:before="100" w:beforeAutospacing="1" w:after="100" w:afterAutospacing="1" w:line="240" w:lineRule="auto"/>
        <w:ind w:left="709" w:right="260" w:hanging="425"/>
        <w:jc w:val="both"/>
        <w:rPr>
          <w:rFonts w:cs="Arial"/>
        </w:rPr>
      </w:pPr>
    </w:p>
    <w:p w14:paraId="032510CE"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14:paraId="53FC6253" w14:textId="77777777" w:rsidR="0059368C" w:rsidRDefault="0059368C" w:rsidP="0059368C">
      <w:pPr>
        <w:pStyle w:val="Odstavecseseznamem"/>
        <w:numPr>
          <w:ilvl w:val="1"/>
          <w:numId w:val="11"/>
        </w:numPr>
        <w:spacing w:after="0" w:line="240" w:lineRule="auto"/>
        <w:ind w:left="709" w:right="260" w:hanging="425"/>
        <w:jc w:val="both"/>
        <w:rPr>
          <w:rFonts w:cs="Arial"/>
        </w:rPr>
      </w:pPr>
      <w:r w:rsidRPr="00195F8F">
        <w:rPr>
          <w:rFonts w:cs="Arial"/>
        </w:rPr>
        <w:t>Tato smlouva nabývá platnosti dnem jejího podpisu oběma smluvními stranami a účinnosti nabývá okamžikem jejího uveřejnění v registru smluv. Uveřejnění v registru smluv zajistí uživatel.</w:t>
      </w:r>
    </w:p>
    <w:p w14:paraId="36F283B2" w14:textId="55F05306"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1" w:name="doba_trvani"/>
      <w:bookmarkEnd w:id="1"/>
      <w:r w:rsidR="00CB41D7">
        <w:rPr>
          <w:rFonts w:cs="Arial"/>
          <w:b/>
        </w:rPr>
        <w:t xml:space="preserve">určitou, a to do </w:t>
      </w:r>
      <w:r w:rsidR="00401023">
        <w:rPr>
          <w:rFonts w:cs="Arial"/>
          <w:b/>
        </w:rPr>
        <w:t>31.12.2025.</w:t>
      </w:r>
      <w:r>
        <w:rPr>
          <w:rFonts w:cs="Arial"/>
        </w:rPr>
        <w:t xml:space="preserve"> Licence je uživateli udělena na dobu trvání této smlouvy.</w:t>
      </w:r>
    </w:p>
    <w:p w14:paraId="10B3066E" w14:textId="77777777" w:rsidR="00E11940" w:rsidRDefault="00E11940" w:rsidP="00E11940">
      <w:pPr>
        <w:pStyle w:val="Odstavecseseznamem"/>
        <w:spacing w:before="100" w:beforeAutospacing="1" w:after="100" w:afterAutospacing="1" w:line="240" w:lineRule="auto"/>
        <w:ind w:left="709" w:right="118" w:hanging="425"/>
        <w:jc w:val="both"/>
        <w:rPr>
          <w:rFonts w:cs="Arial"/>
        </w:rPr>
      </w:pPr>
    </w:p>
    <w:p w14:paraId="3F0A575E" w14:textId="50C15CAB" w:rsidR="00E11940" w:rsidRDefault="00E11940" w:rsidP="00E11940">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r w:rsidR="000161B0">
        <w:rPr>
          <w:rFonts w:cs="Arial"/>
          <w:b/>
        </w:rPr>
        <w:t xml:space="preserve"> a podpora uživatelů</w:t>
      </w:r>
    </w:p>
    <w:p w14:paraId="0AC68DD7" w14:textId="77777777" w:rsidR="00E11940" w:rsidRDefault="00E11940" w:rsidP="00E11940">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7E3C18AA" w14:textId="5CF4033C" w:rsidR="00E11940" w:rsidRDefault="00E11940" w:rsidP="006C0EC0">
      <w:pPr>
        <w:pStyle w:val="Odstavecseseznamem"/>
        <w:numPr>
          <w:ilvl w:val="1"/>
          <w:numId w:val="11"/>
        </w:numPr>
        <w:spacing w:before="80" w:after="0" w:line="240" w:lineRule="auto"/>
        <w:ind w:left="709" w:right="260" w:hanging="425"/>
        <w:rPr>
          <w:rFonts w:cs="Arial"/>
        </w:rPr>
      </w:pPr>
      <w:r>
        <w:rPr>
          <w:rFonts w:cs="Arial"/>
        </w:rPr>
        <w:t xml:space="preserve">Účast na školení je zpoplatněna. Cena a aktuální termíny jsou zveřejněny na stránce </w:t>
      </w:r>
      <w:hyperlink r:id="rId9" w:history="1">
        <w:r>
          <w:rPr>
            <w:rStyle w:val="Hypertextovodkaz"/>
            <w:rFonts w:cs="Arial"/>
          </w:rPr>
          <w:t>www.beck-online.cz</w:t>
        </w:r>
      </w:hyperlink>
      <w:r>
        <w:rPr>
          <w:rFonts w:cs="Arial"/>
        </w:rPr>
        <w:t>.</w:t>
      </w:r>
    </w:p>
    <w:p w14:paraId="628B2E5D" w14:textId="76CA3CE9" w:rsidR="00E11940" w:rsidRPr="00623417" w:rsidRDefault="00E11940"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Pr>
          <w:rFonts w:cs="Arial"/>
        </w:rPr>
        <w:t>V případě zájmu uživatele lze se zástupcem poskytovatele dohodnout individuálně školení mimo veřejné termíny.</w:t>
      </w:r>
      <w:r w:rsidR="00BC5A7D">
        <w:rPr>
          <w:rFonts w:cs="Arial"/>
        </w:rPr>
        <w:t xml:space="preserve"> </w:t>
      </w:r>
      <w:r w:rsidR="00BC5A7D" w:rsidRPr="00623417">
        <w:rPr>
          <w:rStyle w:val="cf01"/>
          <w:rFonts w:asciiTheme="minorHAnsi" w:hAnsiTheme="minorHAnsi" w:cstheme="minorHAnsi"/>
          <w:sz w:val="22"/>
          <w:szCs w:val="22"/>
        </w:rPr>
        <w:t>V rámci bilančních schůzek poskytne poskytovatel uživateli anonymizovaná statistická data o využívání modulů podle přílohy A jednotlivými uživatelskými přístupy.</w:t>
      </w:r>
    </w:p>
    <w:p w14:paraId="216EBF73" w14:textId="37477053" w:rsidR="00862F0D" w:rsidRDefault="000161B0" w:rsidP="00E11940">
      <w:pPr>
        <w:pStyle w:val="Odstavecseseznamem"/>
        <w:numPr>
          <w:ilvl w:val="1"/>
          <w:numId w:val="11"/>
        </w:numPr>
        <w:spacing w:before="120" w:after="0" w:line="240" w:lineRule="auto"/>
        <w:ind w:left="709" w:right="260" w:hanging="425"/>
        <w:jc w:val="both"/>
        <w:rPr>
          <w:rFonts w:cs="Arial"/>
        </w:rPr>
      </w:pPr>
      <w:r>
        <w:rPr>
          <w:rFonts w:cs="Arial"/>
        </w:rPr>
        <w:t xml:space="preserve">Uživatel a poskytovatel se dohodli na uskutečnění dvou bilančních schůzek </w:t>
      </w:r>
      <w:r w:rsidR="008B4E34">
        <w:rPr>
          <w:rFonts w:cs="Arial"/>
        </w:rPr>
        <w:t>ročně</w:t>
      </w:r>
      <w:r>
        <w:rPr>
          <w:rFonts w:cs="Arial"/>
        </w:rPr>
        <w:t>.</w:t>
      </w:r>
    </w:p>
    <w:p w14:paraId="07A6C591" w14:textId="77777777" w:rsidR="00E11940" w:rsidRDefault="00E11940" w:rsidP="00E11940">
      <w:pPr>
        <w:pStyle w:val="Odstavecseseznamem"/>
        <w:spacing w:after="100" w:afterAutospacing="1" w:line="240" w:lineRule="auto"/>
        <w:ind w:left="709" w:right="260" w:hanging="425"/>
        <w:jc w:val="both"/>
        <w:rPr>
          <w:rFonts w:cs="Arial"/>
          <w:b/>
        </w:rPr>
      </w:pPr>
    </w:p>
    <w:p w14:paraId="23F60107"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F92299C" w14:textId="5605DFF5"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3A6D9D6F" w14:textId="77777777" w:rsidR="00862F0D" w:rsidRDefault="00862F0D" w:rsidP="00862F0D">
      <w:pPr>
        <w:pStyle w:val="Odstavecseseznamem"/>
        <w:spacing w:after="0" w:line="240" w:lineRule="auto"/>
        <w:ind w:left="709" w:right="260"/>
        <w:jc w:val="both"/>
        <w:rPr>
          <w:rFonts w:cs="Arial"/>
        </w:rPr>
      </w:pPr>
    </w:p>
    <w:p w14:paraId="155304C4"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2CEA846F" w14:textId="77777777"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 xml:space="preserve">Tato smlouva je uzavřena písemně ve dvou (2) vyhotoveních, z nichž poskytovatel a uživatel </w:t>
      </w:r>
      <w:proofErr w:type="gramStart"/>
      <w:r>
        <w:rPr>
          <w:rFonts w:cs="Arial"/>
        </w:rPr>
        <w:t>obdrží</w:t>
      </w:r>
      <w:proofErr w:type="gramEnd"/>
      <w:r>
        <w:rPr>
          <w:rFonts w:cs="Arial"/>
        </w:rPr>
        <w:t xml:space="preserve"> každý po jednom (1).</w:t>
      </w:r>
    </w:p>
    <w:p w14:paraId="3BE756C3"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34F858C6"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367266EB"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14:paraId="5DE307AE" w14:textId="77777777" w:rsidR="00E11940" w:rsidRDefault="00E11940" w:rsidP="00E11940">
      <w:pPr>
        <w:tabs>
          <w:tab w:val="left" w:pos="6096"/>
        </w:tabs>
        <w:spacing w:before="240" w:after="0" w:line="240" w:lineRule="auto"/>
        <w:ind w:left="284" w:right="260"/>
        <w:jc w:val="both"/>
        <w:rPr>
          <w:rFonts w:cs="Arial"/>
        </w:rPr>
      </w:pPr>
    </w:p>
    <w:p w14:paraId="69AA94E5" w14:textId="3DEEC5B4" w:rsidR="00E11940" w:rsidRDefault="00E11940" w:rsidP="00E11940">
      <w:pPr>
        <w:tabs>
          <w:tab w:val="left" w:pos="5387"/>
        </w:tabs>
        <w:spacing w:before="240" w:after="0" w:line="240" w:lineRule="auto"/>
        <w:ind w:left="284" w:right="260"/>
        <w:jc w:val="both"/>
        <w:rPr>
          <w:rFonts w:cs="Arial"/>
        </w:rPr>
      </w:pPr>
      <w:r>
        <w:rPr>
          <w:rFonts w:cs="Arial"/>
        </w:rPr>
        <w:t xml:space="preserve">V Praze dne </w:t>
      </w:r>
      <w:r w:rsidR="0022651B">
        <w:rPr>
          <w:rFonts w:cs="Arial"/>
        </w:rPr>
        <w:t>28.11.2024</w:t>
      </w:r>
      <w:r>
        <w:rPr>
          <w:rFonts w:cs="Arial"/>
        </w:rPr>
        <w:tab/>
        <w:t>V</w:t>
      </w:r>
      <w:r w:rsidR="00E2657F">
        <w:rPr>
          <w:rFonts w:cs="Arial"/>
        </w:rPr>
        <w:t> </w:t>
      </w:r>
      <w:bookmarkStart w:id="2" w:name="mesto_firmy1"/>
      <w:bookmarkEnd w:id="2"/>
      <w:r w:rsidR="00E2657F">
        <w:rPr>
          <w:rFonts w:cs="Arial"/>
        </w:rPr>
        <w:t xml:space="preserve">Ústí nad Labem </w:t>
      </w:r>
      <w:r>
        <w:rPr>
          <w:rFonts w:cs="Arial"/>
        </w:rPr>
        <w:t xml:space="preserve">dne </w:t>
      </w:r>
      <w:r w:rsidR="0022651B">
        <w:rPr>
          <w:rFonts w:cs="Arial"/>
        </w:rPr>
        <w:t>27.11.2024</w:t>
      </w:r>
    </w:p>
    <w:p w14:paraId="501F0A9A" w14:textId="77777777" w:rsidR="00E11940" w:rsidRDefault="00E11940" w:rsidP="00E11940">
      <w:pPr>
        <w:tabs>
          <w:tab w:val="left" w:pos="5387"/>
        </w:tabs>
        <w:spacing w:after="0" w:line="240" w:lineRule="auto"/>
        <w:ind w:left="284" w:right="118"/>
        <w:jc w:val="both"/>
        <w:rPr>
          <w:rFonts w:cs="Arial"/>
        </w:rPr>
      </w:pPr>
    </w:p>
    <w:p w14:paraId="2A8FC0F9" w14:textId="77777777" w:rsidR="00401023" w:rsidRDefault="00401023" w:rsidP="00E11940">
      <w:pPr>
        <w:tabs>
          <w:tab w:val="left" w:pos="5387"/>
        </w:tabs>
        <w:spacing w:after="0" w:line="240" w:lineRule="auto"/>
        <w:ind w:left="284" w:right="118"/>
        <w:jc w:val="both"/>
        <w:rPr>
          <w:rFonts w:cs="Arial"/>
        </w:rPr>
      </w:pPr>
    </w:p>
    <w:p w14:paraId="370C1B3C" w14:textId="77777777" w:rsidR="00401023" w:rsidRDefault="00401023" w:rsidP="00E11940">
      <w:pPr>
        <w:tabs>
          <w:tab w:val="left" w:pos="5387"/>
        </w:tabs>
        <w:spacing w:after="0" w:line="240" w:lineRule="auto"/>
        <w:ind w:left="284" w:right="118"/>
        <w:jc w:val="both"/>
        <w:rPr>
          <w:rFonts w:cs="Arial"/>
        </w:rPr>
      </w:pPr>
    </w:p>
    <w:p w14:paraId="7C9416B6" w14:textId="77777777" w:rsidR="00401023" w:rsidRDefault="00401023" w:rsidP="00E11940">
      <w:pPr>
        <w:tabs>
          <w:tab w:val="left" w:pos="5387"/>
        </w:tabs>
        <w:spacing w:after="0" w:line="240" w:lineRule="auto"/>
        <w:ind w:left="284" w:right="118"/>
        <w:jc w:val="both"/>
        <w:rPr>
          <w:rFonts w:cs="Arial"/>
        </w:rPr>
      </w:pPr>
    </w:p>
    <w:p w14:paraId="51E6A7FC" w14:textId="77777777" w:rsidR="00E11940" w:rsidRDefault="00E11940" w:rsidP="00E11940">
      <w:pPr>
        <w:tabs>
          <w:tab w:val="left" w:pos="5387"/>
        </w:tabs>
        <w:spacing w:after="0" w:line="240" w:lineRule="auto"/>
        <w:ind w:left="284" w:right="118"/>
        <w:jc w:val="both"/>
        <w:rPr>
          <w:rFonts w:cs="Arial"/>
        </w:rPr>
      </w:pPr>
    </w:p>
    <w:p w14:paraId="18C759EC" w14:textId="77777777" w:rsidR="00E11940" w:rsidRDefault="00E11940" w:rsidP="00E11940">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02820574" w14:textId="6FD54AD4" w:rsidR="00401023" w:rsidRDefault="00E11940" w:rsidP="00E11940">
      <w:pPr>
        <w:tabs>
          <w:tab w:val="left" w:pos="5387"/>
        </w:tabs>
        <w:spacing w:after="0" w:line="240" w:lineRule="auto"/>
        <w:ind w:right="118"/>
        <w:jc w:val="both"/>
        <w:rPr>
          <w:rFonts w:cs="Arial"/>
          <w:b/>
        </w:rPr>
      </w:pPr>
      <w:r>
        <w:rPr>
          <w:rFonts w:cs="Arial"/>
          <w:b/>
        </w:rPr>
        <w:t xml:space="preserve">     Nakladatelství </w:t>
      </w:r>
      <w:proofErr w:type="spellStart"/>
      <w:r>
        <w:rPr>
          <w:rFonts w:cs="Arial"/>
          <w:b/>
        </w:rPr>
        <w:t>C.H.Beck</w:t>
      </w:r>
      <w:proofErr w:type="spellEnd"/>
      <w:r>
        <w:rPr>
          <w:rFonts w:cs="Arial"/>
          <w:b/>
        </w:rPr>
        <w:t>, s.r.o.</w:t>
      </w:r>
      <w:r>
        <w:rPr>
          <w:rFonts w:cs="Arial"/>
          <w:b/>
        </w:rPr>
        <w:tab/>
      </w:r>
      <w:bookmarkStart w:id="3" w:name="jmeno_firmy2"/>
      <w:bookmarkEnd w:id="3"/>
      <w:r w:rsidR="00E2657F" w:rsidRPr="00E2657F">
        <w:rPr>
          <w:b/>
        </w:rPr>
        <w:t>Krajské státní zastupitelství Ústí nad Labem</w:t>
      </w:r>
    </w:p>
    <w:p w14:paraId="27F74405" w14:textId="3419750C" w:rsidR="00E11940" w:rsidRDefault="00FC0778" w:rsidP="00FC0778">
      <w:pPr>
        <w:tabs>
          <w:tab w:val="left" w:pos="5387"/>
        </w:tabs>
        <w:spacing w:after="0" w:line="240" w:lineRule="auto"/>
        <w:ind w:left="284" w:right="118"/>
        <w:jc w:val="both"/>
        <w:rPr>
          <w:rFonts w:cs="Arial"/>
        </w:rPr>
      </w:pPr>
      <w:proofErr w:type="spellStart"/>
      <w:r w:rsidRPr="00FC0778">
        <w:rPr>
          <w:rFonts w:cs="Arial"/>
          <w:highlight w:val="black"/>
        </w:rPr>
        <w:t>xxxxxxxxxxxxxxx</w:t>
      </w:r>
      <w:proofErr w:type="spellEnd"/>
      <w:r w:rsidR="00E11940">
        <w:rPr>
          <w:rFonts w:cs="Arial"/>
        </w:rPr>
        <w:tab/>
      </w:r>
      <w:proofErr w:type="spellStart"/>
      <w:r w:rsidRPr="00FC0778">
        <w:rPr>
          <w:bCs/>
          <w:highlight w:val="black"/>
        </w:rPr>
        <w:t>xxxxxxxxxxxxxx</w:t>
      </w:r>
      <w:proofErr w:type="spellEnd"/>
    </w:p>
    <w:p w14:paraId="53F94CFB" w14:textId="3D51B349" w:rsidR="003224DD" w:rsidRDefault="00E11940" w:rsidP="003224DD">
      <w:pPr>
        <w:spacing w:after="0" w:line="240" w:lineRule="auto"/>
        <w:ind w:left="284"/>
        <w:rPr>
          <w:rFonts w:cs="Arial"/>
          <w:b/>
        </w:rPr>
      </w:pPr>
      <w:r>
        <w:rPr>
          <w:rFonts w:cs="Arial"/>
          <w:b/>
        </w:rPr>
        <w:br w:type="page"/>
      </w:r>
      <w:r w:rsidR="003224DD">
        <w:rPr>
          <w:rFonts w:cs="Arial"/>
          <w:b/>
        </w:rPr>
        <w:lastRenderedPageBreak/>
        <w:t>PŘÍLOHA: Rozsah licence</w:t>
      </w:r>
    </w:p>
    <w:p w14:paraId="1E0B18DF" w14:textId="77777777" w:rsidR="003224DD" w:rsidRDefault="003224DD" w:rsidP="003224DD">
      <w:pPr>
        <w:pStyle w:val="Odstavecseseznamem"/>
        <w:tabs>
          <w:tab w:val="left" w:pos="6360"/>
        </w:tabs>
        <w:spacing w:after="0" w:line="240" w:lineRule="auto"/>
        <w:ind w:left="567" w:right="260"/>
        <w:jc w:val="both"/>
        <w:rPr>
          <w:rFonts w:cs="Arial"/>
        </w:rPr>
      </w:pPr>
      <w:r>
        <w:rPr>
          <w:rFonts w:cs="Arial"/>
        </w:rPr>
        <w:tab/>
      </w:r>
    </w:p>
    <w:p w14:paraId="2AC5D4C4" w14:textId="77777777" w:rsidR="003224DD" w:rsidRDefault="003224DD" w:rsidP="003224DD">
      <w:pPr>
        <w:pStyle w:val="Odstavecseseznamem"/>
        <w:numPr>
          <w:ilvl w:val="0"/>
          <w:numId w:val="12"/>
        </w:numPr>
        <w:spacing w:after="0" w:line="240" w:lineRule="auto"/>
        <w:ind w:left="709" w:right="-24" w:hanging="425"/>
        <w:jc w:val="both"/>
        <w:rPr>
          <w:rFonts w:cs="Arial"/>
          <w:b/>
        </w:rPr>
      </w:pPr>
      <w:r>
        <w:rPr>
          <w:rFonts w:cs="Arial"/>
          <w:b/>
        </w:rPr>
        <w:t>Specifikace obsahu a počtu licencí</w:t>
      </w:r>
    </w:p>
    <w:p w14:paraId="02802E10" w14:textId="77777777" w:rsidR="003224DD" w:rsidRDefault="003224DD" w:rsidP="003224DD">
      <w:pPr>
        <w:spacing w:after="0" w:line="240" w:lineRule="auto"/>
        <w:ind w:left="709" w:right="260"/>
        <w:jc w:val="both"/>
        <w:rPr>
          <w:rFonts w:cs="Arial"/>
        </w:rPr>
      </w:pPr>
      <w:r>
        <w:rPr>
          <w:rFonts w:cs="Arial"/>
        </w:rPr>
        <w:t>Prostřednictvím uživatelského účtu bude uživatel oprávněn přistupovat a užívat výlučně následující databáze (moduly) Beck-online v uvedeném počtu osob:</w:t>
      </w:r>
    </w:p>
    <w:p w14:paraId="0A73BA89" w14:textId="77777777" w:rsidR="003224DD" w:rsidRDefault="003224DD" w:rsidP="003224DD">
      <w:pPr>
        <w:spacing w:after="0" w:line="240" w:lineRule="auto"/>
        <w:ind w:left="567" w:right="260" w:hanging="426"/>
        <w:contextualSpacing/>
        <w:jc w:val="both"/>
        <w:rPr>
          <w:rFonts w:cs="Arial"/>
          <w:b/>
        </w:rPr>
      </w:pPr>
    </w:p>
    <w:p w14:paraId="14C7DF62" w14:textId="77777777" w:rsidR="003224DD" w:rsidRDefault="003224DD" w:rsidP="003224DD">
      <w:pPr>
        <w:rPr>
          <w:color w:val="76923C"/>
        </w:rPr>
      </w:pPr>
    </w:p>
    <w:tbl>
      <w:tblPr>
        <w:tblW w:w="8765" w:type="dxa"/>
        <w:tblInd w:w="567" w:type="dxa"/>
        <w:tblBorders>
          <w:bottom w:val="single" w:sz="4" w:space="0" w:color="auto"/>
        </w:tblBorders>
        <w:tblLook w:val="04A0" w:firstRow="1" w:lastRow="0" w:firstColumn="1" w:lastColumn="0" w:noHBand="0" w:noVBand="1"/>
      </w:tblPr>
      <w:tblGrid>
        <w:gridCol w:w="4820"/>
        <w:gridCol w:w="3945"/>
      </w:tblGrid>
      <w:tr w:rsidR="003224DD" w:rsidRPr="00F53E0F" w14:paraId="4426D21E" w14:textId="77777777" w:rsidTr="00401023">
        <w:trPr>
          <w:trHeight w:val="254"/>
        </w:trPr>
        <w:tc>
          <w:tcPr>
            <w:tcW w:w="4820" w:type="dxa"/>
            <w:tcBorders>
              <w:bottom w:val="single" w:sz="4" w:space="0" w:color="auto"/>
            </w:tcBorders>
            <w:hideMark/>
          </w:tcPr>
          <w:p w14:paraId="52D17341" w14:textId="275A1C76" w:rsidR="003224DD" w:rsidRPr="00F53E0F" w:rsidRDefault="00E90F55">
            <w:pPr>
              <w:spacing w:after="0" w:line="240" w:lineRule="auto"/>
              <w:ind w:left="33"/>
              <w:rPr>
                <w:b/>
                <w:bCs/>
              </w:rPr>
            </w:pPr>
            <w:bookmarkStart w:id="4" w:name="sl1"/>
            <w:bookmarkStart w:id="5" w:name="sl3" w:colFirst="1" w:colLast="1"/>
            <w:bookmarkEnd w:id="4"/>
            <w:r w:rsidRPr="00F53E0F">
              <w:rPr>
                <w:b/>
                <w:bCs/>
              </w:rPr>
              <w:t>M</w:t>
            </w:r>
            <w:r w:rsidR="00F53E0F" w:rsidRPr="00F53E0F">
              <w:rPr>
                <w:b/>
                <w:bCs/>
              </w:rPr>
              <w:t>odul</w:t>
            </w:r>
          </w:p>
        </w:tc>
        <w:tc>
          <w:tcPr>
            <w:tcW w:w="3945" w:type="dxa"/>
            <w:tcBorders>
              <w:bottom w:val="single" w:sz="4" w:space="0" w:color="auto"/>
            </w:tcBorders>
            <w:hideMark/>
          </w:tcPr>
          <w:p w14:paraId="483F6C34" w14:textId="72B75263" w:rsidR="003224DD" w:rsidRPr="00F53E0F" w:rsidRDefault="00401023">
            <w:pPr>
              <w:spacing w:after="0" w:line="240" w:lineRule="auto"/>
              <w:rPr>
                <w:b/>
                <w:bCs/>
                <w:color w:val="000000"/>
              </w:rPr>
            </w:pPr>
            <w:bookmarkStart w:id="6" w:name="sl2"/>
            <w:bookmarkEnd w:id="6"/>
            <w:r>
              <w:rPr>
                <w:b/>
                <w:bCs/>
                <w:color w:val="000000"/>
              </w:rPr>
              <w:t>Počet licencí (osob)</w:t>
            </w:r>
          </w:p>
        </w:tc>
      </w:tr>
      <w:tr w:rsidR="00401023" w:rsidRPr="00401023" w14:paraId="568B42A0" w14:textId="77777777" w:rsidTr="00401023">
        <w:trPr>
          <w:trHeight w:val="254"/>
        </w:trPr>
        <w:tc>
          <w:tcPr>
            <w:tcW w:w="4820" w:type="dxa"/>
            <w:tcBorders>
              <w:top w:val="single" w:sz="4" w:space="0" w:color="auto"/>
              <w:bottom w:val="nil"/>
            </w:tcBorders>
          </w:tcPr>
          <w:p w14:paraId="15A11AE7" w14:textId="77777777" w:rsidR="00401023" w:rsidRPr="00401023" w:rsidRDefault="00401023">
            <w:pPr>
              <w:spacing w:after="0" w:line="240" w:lineRule="auto"/>
              <w:ind w:left="33"/>
            </w:pPr>
            <w:r w:rsidRPr="00401023">
              <w:t>Beck-online PRO</w:t>
            </w:r>
          </w:p>
        </w:tc>
        <w:tc>
          <w:tcPr>
            <w:tcW w:w="3945" w:type="dxa"/>
            <w:tcBorders>
              <w:top w:val="single" w:sz="4" w:space="0" w:color="auto"/>
              <w:bottom w:val="nil"/>
            </w:tcBorders>
          </w:tcPr>
          <w:p w14:paraId="6091DAFF" w14:textId="4B64AFAB" w:rsidR="00401023" w:rsidRPr="00401023" w:rsidRDefault="00E2657F">
            <w:pPr>
              <w:spacing w:after="0" w:line="240" w:lineRule="auto"/>
              <w:rPr>
                <w:rFonts w:eastAsia="Times New Roman" w:cs="Arial"/>
                <w:color w:val="000000"/>
              </w:rPr>
            </w:pPr>
            <w:r>
              <w:rPr>
                <w:rFonts w:eastAsia="Times New Roman" w:cs="Arial"/>
                <w:color w:val="000000"/>
              </w:rPr>
              <w:t>1</w:t>
            </w:r>
            <w:r w:rsidR="00401023" w:rsidRPr="00401023">
              <w:rPr>
                <w:rFonts w:eastAsia="Times New Roman" w:cs="Arial"/>
                <w:color w:val="000000"/>
              </w:rPr>
              <w:t>8</w:t>
            </w:r>
            <w:r>
              <w:rPr>
                <w:rFonts w:eastAsia="Times New Roman" w:cs="Arial"/>
                <w:color w:val="000000"/>
              </w:rPr>
              <w:t>1</w:t>
            </w:r>
          </w:p>
        </w:tc>
      </w:tr>
      <w:tr w:rsidR="00E2657F" w:rsidRPr="00401023" w14:paraId="5BFB7863" w14:textId="77777777" w:rsidTr="00401023">
        <w:trPr>
          <w:trHeight w:val="254"/>
        </w:trPr>
        <w:tc>
          <w:tcPr>
            <w:tcW w:w="4820" w:type="dxa"/>
            <w:tcBorders>
              <w:bottom w:val="nil"/>
            </w:tcBorders>
          </w:tcPr>
          <w:p w14:paraId="3787D3BC" w14:textId="77777777" w:rsidR="00E2657F" w:rsidRPr="00401023" w:rsidRDefault="00E2657F" w:rsidP="00E2657F">
            <w:pPr>
              <w:spacing w:after="0" w:line="240" w:lineRule="auto"/>
              <w:ind w:left="33"/>
            </w:pPr>
            <w:r w:rsidRPr="00401023">
              <w:t>Daňové právo</w:t>
            </w:r>
          </w:p>
        </w:tc>
        <w:tc>
          <w:tcPr>
            <w:tcW w:w="3945" w:type="dxa"/>
            <w:tcBorders>
              <w:bottom w:val="nil"/>
            </w:tcBorders>
          </w:tcPr>
          <w:p w14:paraId="70D2A471" w14:textId="4D21FECD"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5987FA40" w14:textId="77777777" w:rsidTr="00401023">
        <w:trPr>
          <w:trHeight w:val="254"/>
        </w:trPr>
        <w:tc>
          <w:tcPr>
            <w:tcW w:w="4820" w:type="dxa"/>
            <w:tcBorders>
              <w:bottom w:val="nil"/>
            </w:tcBorders>
          </w:tcPr>
          <w:p w14:paraId="59465930" w14:textId="77777777" w:rsidR="00E2657F" w:rsidRPr="00401023" w:rsidRDefault="00E2657F" w:rsidP="00E2657F">
            <w:pPr>
              <w:spacing w:after="0" w:line="240" w:lineRule="auto"/>
              <w:ind w:left="33"/>
            </w:pPr>
            <w:r w:rsidRPr="00401023">
              <w:t>Duševní vlastnictví</w:t>
            </w:r>
          </w:p>
        </w:tc>
        <w:tc>
          <w:tcPr>
            <w:tcW w:w="3945" w:type="dxa"/>
            <w:tcBorders>
              <w:bottom w:val="nil"/>
            </w:tcBorders>
          </w:tcPr>
          <w:p w14:paraId="7AD85D80" w14:textId="13D44194"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471EC2E6" w14:textId="77777777" w:rsidTr="00401023">
        <w:trPr>
          <w:trHeight w:val="254"/>
        </w:trPr>
        <w:tc>
          <w:tcPr>
            <w:tcW w:w="4820" w:type="dxa"/>
            <w:tcBorders>
              <w:bottom w:val="nil"/>
            </w:tcBorders>
          </w:tcPr>
          <w:p w14:paraId="509841BD" w14:textId="77777777" w:rsidR="00E2657F" w:rsidRPr="00401023" w:rsidRDefault="00E2657F" w:rsidP="00E2657F">
            <w:pPr>
              <w:spacing w:after="0" w:line="240" w:lineRule="auto"/>
              <w:ind w:left="33"/>
            </w:pPr>
            <w:r w:rsidRPr="00401023">
              <w:t>Finanční právo</w:t>
            </w:r>
          </w:p>
        </w:tc>
        <w:tc>
          <w:tcPr>
            <w:tcW w:w="3945" w:type="dxa"/>
            <w:tcBorders>
              <w:bottom w:val="nil"/>
            </w:tcBorders>
          </w:tcPr>
          <w:p w14:paraId="7C1EDD5A" w14:textId="31BBAC6A"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134EAAE1" w14:textId="77777777" w:rsidTr="00401023">
        <w:trPr>
          <w:trHeight w:val="254"/>
        </w:trPr>
        <w:tc>
          <w:tcPr>
            <w:tcW w:w="4820" w:type="dxa"/>
            <w:tcBorders>
              <w:bottom w:val="nil"/>
            </w:tcBorders>
          </w:tcPr>
          <w:p w14:paraId="0227DF7B" w14:textId="77777777" w:rsidR="00E2657F" w:rsidRPr="00401023" w:rsidRDefault="00E2657F" w:rsidP="00E2657F">
            <w:pPr>
              <w:spacing w:after="0" w:line="240" w:lineRule="auto"/>
              <w:ind w:left="33"/>
            </w:pPr>
            <w:r w:rsidRPr="00401023">
              <w:t>Justiční a procesní právo PLUS</w:t>
            </w:r>
          </w:p>
        </w:tc>
        <w:tc>
          <w:tcPr>
            <w:tcW w:w="3945" w:type="dxa"/>
            <w:tcBorders>
              <w:bottom w:val="nil"/>
            </w:tcBorders>
          </w:tcPr>
          <w:p w14:paraId="4EB510B4" w14:textId="01648986"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02B674DF" w14:textId="77777777" w:rsidTr="00401023">
        <w:trPr>
          <w:trHeight w:val="254"/>
        </w:trPr>
        <w:tc>
          <w:tcPr>
            <w:tcW w:w="4820" w:type="dxa"/>
            <w:tcBorders>
              <w:bottom w:val="nil"/>
            </w:tcBorders>
          </w:tcPr>
          <w:p w14:paraId="4BFE29EB" w14:textId="77777777" w:rsidR="00E2657F" w:rsidRPr="00401023" w:rsidRDefault="00E2657F" w:rsidP="00E2657F">
            <w:pPr>
              <w:spacing w:after="0" w:line="240" w:lineRule="auto"/>
              <w:ind w:left="33"/>
            </w:pPr>
            <w:r w:rsidRPr="00401023">
              <w:t>Občanské právo PLUS</w:t>
            </w:r>
          </w:p>
        </w:tc>
        <w:tc>
          <w:tcPr>
            <w:tcW w:w="3945" w:type="dxa"/>
            <w:tcBorders>
              <w:bottom w:val="nil"/>
            </w:tcBorders>
          </w:tcPr>
          <w:p w14:paraId="709AEE57" w14:textId="13AFF808"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0FF535F0" w14:textId="77777777" w:rsidTr="00401023">
        <w:trPr>
          <w:trHeight w:val="254"/>
        </w:trPr>
        <w:tc>
          <w:tcPr>
            <w:tcW w:w="4820" w:type="dxa"/>
            <w:tcBorders>
              <w:bottom w:val="nil"/>
            </w:tcBorders>
          </w:tcPr>
          <w:p w14:paraId="2CAE4CD4" w14:textId="77777777" w:rsidR="00E2657F" w:rsidRPr="00401023" w:rsidRDefault="00E2657F" w:rsidP="00E2657F">
            <w:pPr>
              <w:spacing w:after="0" w:line="240" w:lineRule="auto"/>
              <w:ind w:left="33"/>
            </w:pPr>
            <w:r w:rsidRPr="00401023">
              <w:t>Obchodní korporace PLUS</w:t>
            </w:r>
          </w:p>
        </w:tc>
        <w:tc>
          <w:tcPr>
            <w:tcW w:w="3945" w:type="dxa"/>
            <w:tcBorders>
              <w:bottom w:val="nil"/>
            </w:tcBorders>
          </w:tcPr>
          <w:p w14:paraId="35C6353D" w14:textId="5271EE73"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1D1D8E11" w14:textId="77777777" w:rsidTr="00401023">
        <w:trPr>
          <w:trHeight w:val="254"/>
        </w:trPr>
        <w:tc>
          <w:tcPr>
            <w:tcW w:w="4820" w:type="dxa"/>
            <w:tcBorders>
              <w:bottom w:val="nil"/>
            </w:tcBorders>
          </w:tcPr>
          <w:p w14:paraId="4D22E452" w14:textId="77777777" w:rsidR="00E2657F" w:rsidRPr="00401023" w:rsidRDefault="00E2657F" w:rsidP="00E2657F">
            <w:pPr>
              <w:spacing w:after="0" w:line="240" w:lineRule="auto"/>
              <w:ind w:left="33"/>
            </w:pPr>
            <w:r w:rsidRPr="00401023">
              <w:t>Pracovní a sociální právo PLUS</w:t>
            </w:r>
          </w:p>
        </w:tc>
        <w:tc>
          <w:tcPr>
            <w:tcW w:w="3945" w:type="dxa"/>
            <w:tcBorders>
              <w:bottom w:val="nil"/>
            </w:tcBorders>
          </w:tcPr>
          <w:p w14:paraId="4E9DF71A" w14:textId="1D0051E0"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0C275C8F" w14:textId="77777777" w:rsidTr="00401023">
        <w:trPr>
          <w:trHeight w:val="254"/>
        </w:trPr>
        <w:tc>
          <w:tcPr>
            <w:tcW w:w="4820" w:type="dxa"/>
            <w:tcBorders>
              <w:bottom w:val="nil"/>
            </w:tcBorders>
          </w:tcPr>
          <w:p w14:paraId="11DFF20D" w14:textId="77777777" w:rsidR="00E2657F" w:rsidRPr="00401023" w:rsidRDefault="00E2657F" w:rsidP="00E2657F">
            <w:pPr>
              <w:spacing w:after="0" w:line="240" w:lineRule="auto"/>
              <w:ind w:left="33"/>
            </w:pPr>
            <w:r w:rsidRPr="00401023">
              <w:t>Soutěžní právo</w:t>
            </w:r>
          </w:p>
        </w:tc>
        <w:tc>
          <w:tcPr>
            <w:tcW w:w="3945" w:type="dxa"/>
            <w:tcBorders>
              <w:bottom w:val="nil"/>
            </w:tcBorders>
          </w:tcPr>
          <w:p w14:paraId="5755A853" w14:textId="3D8445B2"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18627227" w14:textId="77777777" w:rsidTr="00401023">
        <w:trPr>
          <w:trHeight w:val="254"/>
        </w:trPr>
        <w:tc>
          <w:tcPr>
            <w:tcW w:w="4820" w:type="dxa"/>
            <w:tcBorders>
              <w:bottom w:val="nil"/>
            </w:tcBorders>
          </w:tcPr>
          <w:p w14:paraId="5D169CB5" w14:textId="77777777" w:rsidR="00E2657F" w:rsidRPr="00401023" w:rsidRDefault="00E2657F" w:rsidP="00E2657F">
            <w:pPr>
              <w:spacing w:after="0" w:line="240" w:lineRule="auto"/>
              <w:ind w:left="33"/>
            </w:pPr>
            <w:r w:rsidRPr="00401023">
              <w:t>Správní a ústavní právo</w:t>
            </w:r>
          </w:p>
        </w:tc>
        <w:tc>
          <w:tcPr>
            <w:tcW w:w="3945" w:type="dxa"/>
            <w:tcBorders>
              <w:bottom w:val="nil"/>
            </w:tcBorders>
          </w:tcPr>
          <w:p w14:paraId="4786C5E3" w14:textId="7C0F2BB8"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19AC3FD5" w14:textId="77777777" w:rsidTr="00401023">
        <w:trPr>
          <w:trHeight w:val="254"/>
        </w:trPr>
        <w:tc>
          <w:tcPr>
            <w:tcW w:w="4820" w:type="dxa"/>
            <w:tcBorders>
              <w:bottom w:val="nil"/>
            </w:tcBorders>
          </w:tcPr>
          <w:p w14:paraId="13C21019" w14:textId="77777777" w:rsidR="00E2657F" w:rsidRPr="00401023" w:rsidRDefault="00E2657F" w:rsidP="00E2657F">
            <w:pPr>
              <w:spacing w:after="0" w:line="240" w:lineRule="auto"/>
              <w:ind w:left="33"/>
            </w:pPr>
            <w:r w:rsidRPr="00401023">
              <w:t xml:space="preserve">Správní </w:t>
            </w:r>
            <w:proofErr w:type="gramStart"/>
            <w:r w:rsidRPr="00401023">
              <w:t>právo - obce</w:t>
            </w:r>
            <w:proofErr w:type="gramEnd"/>
            <w:r w:rsidRPr="00401023">
              <w:t xml:space="preserve"> a kraje</w:t>
            </w:r>
          </w:p>
        </w:tc>
        <w:tc>
          <w:tcPr>
            <w:tcW w:w="3945" w:type="dxa"/>
            <w:tcBorders>
              <w:bottom w:val="nil"/>
            </w:tcBorders>
          </w:tcPr>
          <w:p w14:paraId="16F03EF7" w14:textId="7A1964EC"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4879CCBC" w14:textId="77777777" w:rsidTr="00401023">
        <w:trPr>
          <w:trHeight w:val="254"/>
        </w:trPr>
        <w:tc>
          <w:tcPr>
            <w:tcW w:w="4820" w:type="dxa"/>
            <w:tcBorders>
              <w:bottom w:val="nil"/>
            </w:tcBorders>
          </w:tcPr>
          <w:p w14:paraId="00198767" w14:textId="77777777" w:rsidR="00E2657F" w:rsidRPr="00401023" w:rsidRDefault="00E2657F" w:rsidP="00E2657F">
            <w:pPr>
              <w:spacing w:after="0" w:line="240" w:lineRule="auto"/>
              <w:ind w:left="33"/>
            </w:pPr>
            <w:r w:rsidRPr="00401023">
              <w:t xml:space="preserve">Správní </w:t>
            </w:r>
            <w:proofErr w:type="gramStart"/>
            <w:r w:rsidRPr="00401023">
              <w:t>právo - stavební</w:t>
            </w:r>
            <w:proofErr w:type="gramEnd"/>
            <w:r w:rsidRPr="00401023">
              <w:t xml:space="preserve"> právo</w:t>
            </w:r>
          </w:p>
        </w:tc>
        <w:tc>
          <w:tcPr>
            <w:tcW w:w="3945" w:type="dxa"/>
            <w:tcBorders>
              <w:bottom w:val="nil"/>
            </w:tcBorders>
          </w:tcPr>
          <w:p w14:paraId="6E6C36A8" w14:textId="7B9EE6FF"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501509D1" w14:textId="77777777" w:rsidTr="00401023">
        <w:trPr>
          <w:trHeight w:val="254"/>
        </w:trPr>
        <w:tc>
          <w:tcPr>
            <w:tcW w:w="4820" w:type="dxa"/>
            <w:tcBorders>
              <w:bottom w:val="nil"/>
            </w:tcBorders>
          </w:tcPr>
          <w:p w14:paraId="03B01999" w14:textId="77777777" w:rsidR="00E2657F" w:rsidRPr="00401023" w:rsidRDefault="00E2657F" w:rsidP="00E2657F">
            <w:pPr>
              <w:spacing w:after="0" w:line="240" w:lineRule="auto"/>
              <w:ind w:left="33"/>
            </w:pPr>
            <w:r w:rsidRPr="00401023">
              <w:t xml:space="preserve">Správní </w:t>
            </w:r>
            <w:proofErr w:type="gramStart"/>
            <w:r w:rsidRPr="00401023">
              <w:t>právo - zvláštní</w:t>
            </w:r>
            <w:proofErr w:type="gramEnd"/>
            <w:r w:rsidRPr="00401023">
              <w:t xml:space="preserve"> předpisy</w:t>
            </w:r>
          </w:p>
        </w:tc>
        <w:tc>
          <w:tcPr>
            <w:tcW w:w="3945" w:type="dxa"/>
            <w:tcBorders>
              <w:bottom w:val="nil"/>
            </w:tcBorders>
          </w:tcPr>
          <w:p w14:paraId="15D2B922" w14:textId="6DEB1CD7"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tr w:rsidR="00E2657F" w:rsidRPr="00401023" w14:paraId="79BD7812" w14:textId="77777777" w:rsidTr="00401023">
        <w:trPr>
          <w:trHeight w:val="254"/>
        </w:trPr>
        <w:tc>
          <w:tcPr>
            <w:tcW w:w="4820" w:type="dxa"/>
            <w:tcBorders>
              <w:bottom w:val="nil"/>
            </w:tcBorders>
          </w:tcPr>
          <w:p w14:paraId="5226872B" w14:textId="77777777" w:rsidR="00E2657F" w:rsidRPr="00401023" w:rsidRDefault="00E2657F" w:rsidP="00E2657F">
            <w:pPr>
              <w:spacing w:after="0" w:line="240" w:lineRule="auto"/>
              <w:ind w:left="33"/>
            </w:pPr>
            <w:r w:rsidRPr="00401023">
              <w:t>Trestní právo PLUS</w:t>
            </w:r>
          </w:p>
        </w:tc>
        <w:tc>
          <w:tcPr>
            <w:tcW w:w="3945" w:type="dxa"/>
            <w:tcBorders>
              <w:bottom w:val="nil"/>
            </w:tcBorders>
          </w:tcPr>
          <w:p w14:paraId="2B1C5A35" w14:textId="5933025A" w:rsidR="00E2657F" w:rsidRPr="00401023" w:rsidRDefault="00E2657F" w:rsidP="00E2657F">
            <w:pPr>
              <w:spacing w:after="0" w:line="240" w:lineRule="auto"/>
              <w:rPr>
                <w:rFonts w:eastAsia="Times New Roman" w:cs="Arial"/>
                <w:color w:val="000000"/>
              </w:rPr>
            </w:pPr>
            <w:r>
              <w:rPr>
                <w:rFonts w:eastAsia="Times New Roman" w:cs="Arial"/>
                <w:color w:val="000000"/>
              </w:rPr>
              <w:t>1</w:t>
            </w:r>
            <w:r w:rsidRPr="00401023">
              <w:rPr>
                <w:rFonts w:eastAsia="Times New Roman" w:cs="Arial"/>
                <w:color w:val="000000"/>
              </w:rPr>
              <w:t>8</w:t>
            </w:r>
            <w:r>
              <w:rPr>
                <w:rFonts w:eastAsia="Times New Roman" w:cs="Arial"/>
                <w:color w:val="000000"/>
              </w:rPr>
              <w:t>1</w:t>
            </w:r>
          </w:p>
        </w:tc>
      </w:tr>
      <w:bookmarkEnd w:id="5"/>
    </w:tbl>
    <w:p w14:paraId="2057B0D4" w14:textId="77777777" w:rsidR="003224DD" w:rsidRDefault="003224DD" w:rsidP="003224DD">
      <w:pPr>
        <w:rPr>
          <w:color w:val="E36C0A"/>
        </w:rPr>
      </w:pPr>
    </w:p>
    <w:p w14:paraId="05819FB8" w14:textId="77777777" w:rsidR="003224DD" w:rsidRDefault="003224DD" w:rsidP="003224DD">
      <w:pPr>
        <w:ind w:left="709" w:right="260"/>
        <w:jc w:val="both"/>
        <w:rPr>
          <w:rFonts w:cs="Arial"/>
        </w:rPr>
      </w:pPr>
      <w:r>
        <w:rPr>
          <w:rFonts w:cs="Arial"/>
        </w:rPr>
        <w:t>Užívající osoby jsou součástí společnosti uživatele viz bod 3.2. VOP.</w:t>
      </w:r>
    </w:p>
    <w:p w14:paraId="58D8F769" w14:textId="77777777" w:rsidR="003224DD" w:rsidRDefault="003224DD" w:rsidP="003224DD">
      <w:pPr>
        <w:ind w:left="567" w:right="260"/>
        <w:jc w:val="both"/>
        <w:rPr>
          <w:rFonts w:cs="Arial"/>
        </w:rPr>
      </w:pPr>
    </w:p>
    <w:p w14:paraId="16985F5F" w14:textId="77777777" w:rsidR="003224DD" w:rsidRDefault="003224DD" w:rsidP="003224DD">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6E8F8C63" w14:textId="3C5B2FAC" w:rsidR="003224DD" w:rsidRDefault="003224DD" w:rsidP="004E4FBF">
      <w:pPr>
        <w:pStyle w:val="Odstavecseseznamem"/>
        <w:spacing w:before="120" w:after="120" w:line="240" w:lineRule="auto"/>
        <w:ind w:left="709" w:right="261"/>
        <w:contextualSpacing w:val="0"/>
        <w:jc w:val="both"/>
        <w:rPr>
          <w:rFonts w:cs="Arial"/>
        </w:rPr>
      </w:pPr>
      <w:r>
        <w:rPr>
          <w:rFonts w:cs="Arial"/>
        </w:rPr>
        <w:t xml:space="preserve">Odměna je sjednána vždy pro období dvanácti po sobě jdoucích kalendářních měsíců (dále jen </w:t>
      </w:r>
      <w:r>
        <w:rPr>
          <w:rFonts w:cs="Arial"/>
          <w:b/>
        </w:rPr>
        <w:t>„období“</w:t>
      </w:r>
      <w:r>
        <w:rPr>
          <w:rFonts w:cs="Arial"/>
        </w:rPr>
        <w:t>). První období se sjednává od</w:t>
      </w:r>
      <w:r>
        <w:rPr>
          <w:rFonts w:cs="Arial"/>
          <w:b/>
        </w:rPr>
        <w:t xml:space="preserve"> </w:t>
      </w:r>
      <w:bookmarkStart w:id="7" w:name="datum_od"/>
      <w:bookmarkEnd w:id="7"/>
      <w:r w:rsidR="00CB41D7">
        <w:rPr>
          <w:rFonts w:cs="Arial"/>
          <w:b/>
        </w:rPr>
        <w:t>1. 1.</w:t>
      </w:r>
      <w:r w:rsidR="006F7DF6">
        <w:rPr>
          <w:rFonts w:cs="Arial"/>
          <w:b/>
        </w:rPr>
        <w:t xml:space="preserve"> 202</w:t>
      </w:r>
      <w:r w:rsidR="004E4FBF">
        <w:rPr>
          <w:rFonts w:cs="Arial"/>
          <w:b/>
        </w:rPr>
        <w:t>5</w:t>
      </w:r>
      <w:r>
        <w:rPr>
          <w:rFonts w:cs="Arial"/>
          <w:b/>
        </w:rPr>
        <w:t xml:space="preserve"> </w:t>
      </w:r>
      <w:r>
        <w:rPr>
          <w:rFonts w:cs="Arial"/>
        </w:rPr>
        <w:t xml:space="preserve">do </w:t>
      </w:r>
      <w:bookmarkStart w:id="8" w:name="datum_do"/>
      <w:bookmarkEnd w:id="8"/>
      <w:r w:rsidR="00CB41D7">
        <w:rPr>
          <w:rFonts w:cs="Arial"/>
          <w:b/>
        </w:rPr>
        <w:t>31. 12. 202</w:t>
      </w:r>
      <w:r w:rsidR="004E4FBF">
        <w:rPr>
          <w:rFonts w:cs="Arial"/>
          <w:b/>
        </w:rPr>
        <w:t>5</w:t>
      </w:r>
      <w:r>
        <w:rPr>
          <w:rFonts w:cs="Arial"/>
          <w:b/>
        </w:rPr>
        <w:t>.</w:t>
      </w:r>
    </w:p>
    <w:p w14:paraId="41375968" w14:textId="167A0BD9" w:rsidR="004E4FBF" w:rsidRDefault="003224DD" w:rsidP="004E4FBF">
      <w:pPr>
        <w:pStyle w:val="Odstavecseseznamem"/>
        <w:spacing w:before="120" w:after="120" w:line="240" w:lineRule="auto"/>
        <w:ind w:left="709" w:right="261"/>
        <w:contextualSpacing w:val="0"/>
        <w:jc w:val="both"/>
        <w:rPr>
          <w:rFonts w:cs="Arial"/>
        </w:rPr>
      </w:pPr>
      <w:r>
        <w:rPr>
          <w:rFonts w:cs="Arial"/>
        </w:rPr>
        <w:t xml:space="preserve">Odměna </w:t>
      </w:r>
      <w:r w:rsidR="00477183">
        <w:rPr>
          <w:rFonts w:cs="Arial"/>
        </w:rPr>
        <w:t xml:space="preserve">vychází </w:t>
      </w:r>
      <w:r w:rsidR="00CB0A79">
        <w:rPr>
          <w:rFonts w:cs="Arial"/>
        </w:rPr>
        <w:t xml:space="preserve">z reportu uživatelských statistik a </w:t>
      </w:r>
      <w:r w:rsidR="00477183">
        <w:rPr>
          <w:rFonts w:cs="Arial"/>
        </w:rPr>
        <w:t xml:space="preserve">za jedno období </w:t>
      </w:r>
      <w:r>
        <w:rPr>
          <w:rFonts w:cs="Arial"/>
        </w:rPr>
        <w:t>činí</w:t>
      </w:r>
      <w:r>
        <w:rPr>
          <w:rFonts w:cs="Arial"/>
          <w:b/>
        </w:rPr>
        <w:t xml:space="preserve"> </w:t>
      </w:r>
      <w:bookmarkStart w:id="9" w:name="cena"/>
      <w:bookmarkEnd w:id="9"/>
      <w:r w:rsidR="00E2657F">
        <w:rPr>
          <w:rFonts w:cs="Arial"/>
          <w:b/>
        </w:rPr>
        <w:t>452 501</w:t>
      </w:r>
      <w:r w:rsidR="00401023">
        <w:rPr>
          <w:rFonts w:cs="Arial"/>
          <w:b/>
        </w:rPr>
        <w:t xml:space="preserve"> </w:t>
      </w:r>
      <w:r>
        <w:rPr>
          <w:rFonts w:cs="Arial"/>
          <w:b/>
        </w:rPr>
        <w:t>Kč bez DPH</w:t>
      </w:r>
      <w:r>
        <w:rPr>
          <w:rFonts w:cs="Arial"/>
        </w:rPr>
        <w:t xml:space="preserve"> (dále jen </w:t>
      </w:r>
      <w:r>
        <w:rPr>
          <w:rFonts w:cs="Arial"/>
          <w:b/>
        </w:rPr>
        <w:t>„odměna“</w:t>
      </w:r>
      <w:r>
        <w:rPr>
          <w:rFonts w:cs="Arial"/>
        </w:rPr>
        <w:t xml:space="preserve">). Uživatel se zavazuje zároveň s odměnou uhradit DPH v zákonné výši. </w:t>
      </w:r>
    </w:p>
    <w:p w14:paraId="0BF2E0B4" w14:textId="69487D10" w:rsidR="00627488" w:rsidRDefault="00BC5A7D" w:rsidP="00627488">
      <w:pPr>
        <w:spacing w:before="120" w:after="120" w:line="240" w:lineRule="auto"/>
        <w:ind w:left="709"/>
        <w:rPr>
          <w:rFonts w:cs="Arial"/>
        </w:rPr>
      </w:pPr>
      <w:r w:rsidRPr="00627488">
        <w:rPr>
          <w:rFonts w:cs="Arial"/>
        </w:rPr>
        <w:t xml:space="preserve">Poskytovatel </w:t>
      </w:r>
      <w:r w:rsidR="00192D59" w:rsidRPr="00627488">
        <w:rPr>
          <w:rFonts w:cs="Arial"/>
        </w:rPr>
        <w:t>zaručuje uživateli shora uvedenou výši předplatného na počet licencí uvedených v části A.  i pro obdobní od 1. 1. 2026 do 31. 12. 2026, pokud se uživatel rozhodne dále předmětné licence využívat.</w:t>
      </w:r>
    </w:p>
    <w:p w14:paraId="457209CE" w14:textId="6F545886" w:rsidR="00627488" w:rsidRPr="00EF3CDF" w:rsidRDefault="00627488" w:rsidP="00627488">
      <w:pPr>
        <w:spacing w:after="0" w:line="240" w:lineRule="auto"/>
        <w:ind w:left="709"/>
        <w:rPr>
          <w:rFonts w:cs="Arial"/>
        </w:rPr>
      </w:pPr>
      <w:r w:rsidRPr="00627488">
        <w:rPr>
          <w:rFonts w:cs="Arial"/>
        </w:rPr>
        <w:t xml:space="preserve">Poskytovatel je oprávněn zvýšit cenu na </w:t>
      </w:r>
      <w:r>
        <w:rPr>
          <w:rFonts w:cs="Arial"/>
        </w:rPr>
        <w:t xml:space="preserve">toto období </w:t>
      </w:r>
      <w:r w:rsidRPr="00627488">
        <w:rPr>
          <w:rFonts w:cs="Arial"/>
        </w:rPr>
        <w:t>podle míry inflace vyjádřené přírůstkem průměrného ročního indexu spotřebitelských cen zveřejňovaného Českým statistickým úřadem za předcházející kalendářní rok.</w:t>
      </w:r>
    </w:p>
    <w:p w14:paraId="5C232E35" w14:textId="77777777" w:rsidR="00627488" w:rsidRPr="00EF3CDF" w:rsidRDefault="00627488" w:rsidP="00627488">
      <w:pPr>
        <w:spacing w:before="120" w:after="120" w:line="240" w:lineRule="auto"/>
        <w:ind w:left="709"/>
        <w:rPr>
          <w:rFonts w:cs="Arial"/>
        </w:rPr>
      </w:pPr>
    </w:p>
    <w:sectPr w:rsidR="00627488" w:rsidRPr="00EF3CDF" w:rsidSect="00AE0052">
      <w:headerReference w:type="default" r:id="rId10"/>
      <w:footerReference w:type="default" r:id="rId11"/>
      <w:headerReference w:type="first" r:id="rId12"/>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1F56" w14:textId="77777777" w:rsidR="004C3E3D" w:rsidRDefault="004C3E3D" w:rsidP="00547186">
      <w:pPr>
        <w:spacing w:after="0" w:line="240" w:lineRule="auto"/>
      </w:pPr>
      <w:r>
        <w:separator/>
      </w:r>
    </w:p>
  </w:endnote>
  <w:endnote w:type="continuationSeparator" w:id="0">
    <w:p w14:paraId="3F0BBA17" w14:textId="77777777" w:rsidR="004C3E3D" w:rsidRDefault="004C3E3D" w:rsidP="00547186">
      <w:pPr>
        <w:spacing w:after="0" w:line="240" w:lineRule="auto"/>
      </w:pPr>
      <w:r>
        <w:continuationSeparator/>
      </w:r>
    </w:p>
  </w:endnote>
  <w:endnote w:type="continuationNotice" w:id="1">
    <w:p w14:paraId="49255D77" w14:textId="77777777" w:rsidR="004C3E3D" w:rsidRDefault="004C3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501A" w14:textId="77777777" w:rsidR="00690122" w:rsidRDefault="00690122" w:rsidP="00CA2C61">
    <w:pPr>
      <w:pStyle w:val="Zpat"/>
      <w:tabs>
        <w:tab w:val="clear" w:pos="9072"/>
        <w:tab w:val="right" w:pos="10065"/>
      </w:tabs>
      <w:ind w:left="426" w:right="401"/>
      <w:rPr>
        <w:rFonts w:ascii="Arial" w:hAnsi="Arial" w:cs="Arial"/>
        <w:sz w:val="18"/>
        <w:szCs w:val="18"/>
      </w:rPr>
    </w:pPr>
  </w:p>
  <w:p w14:paraId="61C3D188"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738B" w14:textId="77777777" w:rsidR="004C3E3D" w:rsidRDefault="004C3E3D" w:rsidP="00547186">
      <w:pPr>
        <w:spacing w:after="0" w:line="240" w:lineRule="auto"/>
      </w:pPr>
      <w:r>
        <w:separator/>
      </w:r>
    </w:p>
  </w:footnote>
  <w:footnote w:type="continuationSeparator" w:id="0">
    <w:p w14:paraId="0CF2F6E2" w14:textId="77777777" w:rsidR="004C3E3D" w:rsidRDefault="004C3E3D" w:rsidP="00547186">
      <w:pPr>
        <w:spacing w:after="0" w:line="240" w:lineRule="auto"/>
      </w:pPr>
      <w:r>
        <w:continuationSeparator/>
      </w:r>
    </w:p>
  </w:footnote>
  <w:footnote w:type="continuationNotice" w:id="1">
    <w:p w14:paraId="7782031E" w14:textId="77777777" w:rsidR="004C3E3D" w:rsidRDefault="004C3E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3116" w14:textId="6DF8B7AE" w:rsidR="007E3026" w:rsidRDefault="00075B98"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7728" behindDoc="0" locked="0" layoutInCell="1" allowOverlap="1" wp14:anchorId="6359A744" wp14:editId="0172D9A9">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C46B221"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" strokecolor="windowText" strokeweight=".5pt">
              <v:stroke joinstyle="miter"/>
              <o:lock v:ext="edit" shapetype="f"/>
            </v:line>
          </w:pict>
        </mc:Fallback>
      </mc:AlternateContent>
    </w:r>
    <w:r w:rsidR="00582E3C" w:rsidRPr="00582E3C">
      <w:rPr>
        <w:rFonts w:ascii="Calibri Light" w:hAnsi="Calibri Light" w:cs="Calibri Light"/>
      </w:rPr>
      <w:t xml:space="preserve"> </w:t>
    </w:r>
    <w:r w:rsidR="00582E3C">
      <w:rPr>
        <w:rFonts w:ascii="Calibri Light" w:hAnsi="Calibri Light" w:cs="Calibri Light"/>
      </w:rPr>
      <w:t xml:space="preserve">SMLOUVA O UŽÍVÁNÍ PRÁVNÍHO INFORMAČNÍHO SYSTÉMU </w:t>
    </w:r>
    <w:r w:rsidR="006C0EC0">
      <w:rPr>
        <w:rFonts w:ascii="Calibri Light" w:hAnsi="Calibri Light" w:cs="Calibri Light"/>
      </w:rPr>
      <w:t xml:space="preserve">BECK-ONLINE </w:t>
    </w:r>
    <w:r w:rsidR="007E3026">
      <w:rPr>
        <w:rFonts w:ascii="Calibri Light" w:hAnsi="Calibri Light" w:cs="Calibri Light"/>
      </w:rPr>
      <w:t>Č.</w:t>
    </w:r>
    <w:r w:rsidR="007E3026">
      <w:rPr>
        <w:rFonts w:ascii="Calibri Light" w:hAnsi="Calibri Light" w:cs="Calibri Light"/>
      </w:rPr>
      <w:tab/>
    </w:r>
    <w:bookmarkStart w:id="10" w:name="nazev_dokladu"/>
    <w:bookmarkEnd w:id="10"/>
    <w:r w:rsidR="00CB41D7">
      <w:rPr>
        <w:rFonts w:ascii="Calibri Light" w:hAnsi="Calibri Light" w:cs="Calibri Light"/>
      </w:rPr>
      <w:t>SML_102</w:t>
    </w:r>
    <w:r w:rsidR="00623417">
      <w:rPr>
        <w:rFonts w:ascii="Calibri Light" w:hAnsi="Calibri Light" w:cs="Calibri Light"/>
      </w:rPr>
      <w:t>713</w:t>
    </w:r>
    <w:r w:rsidR="007E3026">
      <w:rPr>
        <w:rFonts w:ascii="Calibri Light" w:hAnsi="Calibri Light" w:cs="Calibri Light"/>
      </w:rPr>
      <w:t>_</w:t>
    </w:r>
    <w:bookmarkStart w:id="11" w:name="smlouva_od"/>
    <w:bookmarkEnd w:id="11"/>
    <w:r w:rsidR="00CB41D7">
      <w:rPr>
        <w:rFonts w:ascii="Calibri Light" w:hAnsi="Calibri Light" w:cs="Calibri Light"/>
      </w:rPr>
      <w:t>202</w:t>
    </w:r>
    <w:r w:rsidR="003E5CC6">
      <w:rPr>
        <w:rFonts w:ascii="Calibri Light" w:hAnsi="Calibri Light" w:cs="Calibri Light"/>
      </w:rPr>
      <w:t>50</w:t>
    </w:r>
    <w:r w:rsidR="00CB41D7">
      <w:rPr>
        <w:rFonts w:ascii="Calibri Light" w:hAnsi="Calibri Light" w:cs="Calibri Light"/>
      </w:rPr>
      <w:t>101</w:t>
    </w:r>
    <w:r w:rsidR="00F27C44">
      <w:rPr>
        <w:rFonts w:ascii="Calibri Light" w:hAnsi="Calibri Light" w:cs="Calibri Light"/>
      </w:rPr>
      <w:t xml:space="preserve"> </w:t>
    </w:r>
  </w:p>
  <w:p w14:paraId="61DF1DC3"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9AE9"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610DB61B"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3EB7"/>
    <w:multiLevelType w:val="hybridMultilevel"/>
    <w:tmpl w:val="1A1E7008"/>
    <w:lvl w:ilvl="0" w:tplc="E01E59C4">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3964149">
    <w:abstractNumId w:val="2"/>
  </w:num>
  <w:num w:numId="2" w16cid:durableId="2091927426">
    <w:abstractNumId w:val="3"/>
  </w:num>
  <w:num w:numId="3" w16cid:durableId="1386224411">
    <w:abstractNumId w:val="6"/>
  </w:num>
  <w:num w:numId="4" w16cid:durableId="1041593495">
    <w:abstractNumId w:val="5"/>
  </w:num>
  <w:num w:numId="5" w16cid:durableId="1736777382">
    <w:abstractNumId w:val="9"/>
  </w:num>
  <w:num w:numId="6" w16cid:durableId="1139297010">
    <w:abstractNumId w:val="8"/>
  </w:num>
  <w:num w:numId="7" w16cid:durableId="1576084681">
    <w:abstractNumId w:val="1"/>
  </w:num>
  <w:num w:numId="8" w16cid:durableId="125201709">
    <w:abstractNumId w:val="7"/>
  </w:num>
  <w:num w:numId="9" w16cid:durableId="972826493">
    <w:abstractNumId w:val="4"/>
  </w:num>
  <w:num w:numId="10" w16cid:durableId="18742236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150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771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477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161B0"/>
    <w:rsid w:val="000261F0"/>
    <w:rsid w:val="00044E55"/>
    <w:rsid w:val="0005315B"/>
    <w:rsid w:val="00060CE1"/>
    <w:rsid w:val="000646EE"/>
    <w:rsid w:val="00066B7C"/>
    <w:rsid w:val="00073CC1"/>
    <w:rsid w:val="0007402A"/>
    <w:rsid w:val="00075B98"/>
    <w:rsid w:val="00083006"/>
    <w:rsid w:val="0008358C"/>
    <w:rsid w:val="00087C1D"/>
    <w:rsid w:val="000958FA"/>
    <w:rsid w:val="000A32D4"/>
    <w:rsid w:val="000E1505"/>
    <w:rsid w:val="000F78FE"/>
    <w:rsid w:val="0010521C"/>
    <w:rsid w:val="00112385"/>
    <w:rsid w:val="00123ED6"/>
    <w:rsid w:val="0012718F"/>
    <w:rsid w:val="00165A38"/>
    <w:rsid w:val="00185244"/>
    <w:rsid w:val="00192D59"/>
    <w:rsid w:val="001A0561"/>
    <w:rsid w:val="001A5FC9"/>
    <w:rsid w:val="001B6172"/>
    <w:rsid w:val="001C2E48"/>
    <w:rsid w:val="001D4173"/>
    <w:rsid w:val="001D75FC"/>
    <w:rsid w:val="001E6BBF"/>
    <w:rsid w:val="00225323"/>
    <w:rsid w:val="0022651B"/>
    <w:rsid w:val="002323F5"/>
    <w:rsid w:val="002364D6"/>
    <w:rsid w:val="0024353C"/>
    <w:rsid w:val="002537C0"/>
    <w:rsid w:val="0026351B"/>
    <w:rsid w:val="002671D7"/>
    <w:rsid w:val="00273172"/>
    <w:rsid w:val="00283FF8"/>
    <w:rsid w:val="00285F70"/>
    <w:rsid w:val="002A684C"/>
    <w:rsid w:val="002B3739"/>
    <w:rsid w:val="002B75C2"/>
    <w:rsid w:val="002D1CD4"/>
    <w:rsid w:val="002D4D1C"/>
    <w:rsid w:val="002E5EF0"/>
    <w:rsid w:val="002F7BFF"/>
    <w:rsid w:val="003058D5"/>
    <w:rsid w:val="00316444"/>
    <w:rsid w:val="003224DD"/>
    <w:rsid w:val="003251B5"/>
    <w:rsid w:val="00332D37"/>
    <w:rsid w:val="00337725"/>
    <w:rsid w:val="00337809"/>
    <w:rsid w:val="003404A2"/>
    <w:rsid w:val="00343064"/>
    <w:rsid w:val="003647B0"/>
    <w:rsid w:val="00385314"/>
    <w:rsid w:val="003A045F"/>
    <w:rsid w:val="003A1B08"/>
    <w:rsid w:val="003A22B2"/>
    <w:rsid w:val="003B2487"/>
    <w:rsid w:val="003E174B"/>
    <w:rsid w:val="003E3404"/>
    <w:rsid w:val="003E5CC6"/>
    <w:rsid w:val="003E622D"/>
    <w:rsid w:val="00401023"/>
    <w:rsid w:val="00403FD0"/>
    <w:rsid w:val="004079FF"/>
    <w:rsid w:val="00416EDE"/>
    <w:rsid w:val="0042573F"/>
    <w:rsid w:val="00432847"/>
    <w:rsid w:val="00441449"/>
    <w:rsid w:val="00446DE6"/>
    <w:rsid w:val="00447B09"/>
    <w:rsid w:val="004505F6"/>
    <w:rsid w:val="0045695C"/>
    <w:rsid w:val="00457E8E"/>
    <w:rsid w:val="004655B7"/>
    <w:rsid w:val="00465810"/>
    <w:rsid w:val="00470B4F"/>
    <w:rsid w:val="004731C5"/>
    <w:rsid w:val="00477183"/>
    <w:rsid w:val="004A73FE"/>
    <w:rsid w:val="004B1AE6"/>
    <w:rsid w:val="004C3E3D"/>
    <w:rsid w:val="004E1CB3"/>
    <w:rsid w:val="004E3848"/>
    <w:rsid w:val="004E4FBF"/>
    <w:rsid w:val="004E6303"/>
    <w:rsid w:val="004E6A28"/>
    <w:rsid w:val="004F17D0"/>
    <w:rsid w:val="00503A13"/>
    <w:rsid w:val="00503E20"/>
    <w:rsid w:val="0050486E"/>
    <w:rsid w:val="00511E65"/>
    <w:rsid w:val="005210EA"/>
    <w:rsid w:val="005233DA"/>
    <w:rsid w:val="00530C85"/>
    <w:rsid w:val="00531CD5"/>
    <w:rsid w:val="00537A77"/>
    <w:rsid w:val="005422FB"/>
    <w:rsid w:val="00543C55"/>
    <w:rsid w:val="00543C9C"/>
    <w:rsid w:val="00547186"/>
    <w:rsid w:val="00547F43"/>
    <w:rsid w:val="00561F00"/>
    <w:rsid w:val="0056217F"/>
    <w:rsid w:val="00565FD1"/>
    <w:rsid w:val="00567F36"/>
    <w:rsid w:val="00582E3C"/>
    <w:rsid w:val="005833B4"/>
    <w:rsid w:val="00591859"/>
    <w:rsid w:val="0059368C"/>
    <w:rsid w:val="005964D9"/>
    <w:rsid w:val="005A46FA"/>
    <w:rsid w:val="005A7E99"/>
    <w:rsid w:val="005B0FD1"/>
    <w:rsid w:val="005C5FDE"/>
    <w:rsid w:val="005D4DF6"/>
    <w:rsid w:val="005E0650"/>
    <w:rsid w:val="005E15A9"/>
    <w:rsid w:val="005F75F1"/>
    <w:rsid w:val="00620707"/>
    <w:rsid w:val="00622111"/>
    <w:rsid w:val="00623417"/>
    <w:rsid w:val="006235BA"/>
    <w:rsid w:val="00627488"/>
    <w:rsid w:val="00650429"/>
    <w:rsid w:val="00650732"/>
    <w:rsid w:val="006576F0"/>
    <w:rsid w:val="00665C3B"/>
    <w:rsid w:val="00665C84"/>
    <w:rsid w:val="00670E60"/>
    <w:rsid w:val="0067317B"/>
    <w:rsid w:val="0068609C"/>
    <w:rsid w:val="00690122"/>
    <w:rsid w:val="006952EE"/>
    <w:rsid w:val="006A183E"/>
    <w:rsid w:val="006B19E0"/>
    <w:rsid w:val="006C0EC0"/>
    <w:rsid w:val="006C42F3"/>
    <w:rsid w:val="006C58B8"/>
    <w:rsid w:val="006D2859"/>
    <w:rsid w:val="006D7B35"/>
    <w:rsid w:val="006D7CFA"/>
    <w:rsid w:val="006E0E24"/>
    <w:rsid w:val="006F7DF6"/>
    <w:rsid w:val="00710B51"/>
    <w:rsid w:val="00714B39"/>
    <w:rsid w:val="0072498A"/>
    <w:rsid w:val="00727E2B"/>
    <w:rsid w:val="00737ABB"/>
    <w:rsid w:val="00740029"/>
    <w:rsid w:val="00740C2F"/>
    <w:rsid w:val="007433D6"/>
    <w:rsid w:val="00745ED1"/>
    <w:rsid w:val="0074621D"/>
    <w:rsid w:val="00761CD7"/>
    <w:rsid w:val="007703A4"/>
    <w:rsid w:val="00770D15"/>
    <w:rsid w:val="007B2A46"/>
    <w:rsid w:val="007C75B2"/>
    <w:rsid w:val="007D4A0D"/>
    <w:rsid w:val="007E3026"/>
    <w:rsid w:val="007E6F3D"/>
    <w:rsid w:val="007F5863"/>
    <w:rsid w:val="00804105"/>
    <w:rsid w:val="008109B4"/>
    <w:rsid w:val="00812F5E"/>
    <w:rsid w:val="00822301"/>
    <w:rsid w:val="0082259C"/>
    <w:rsid w:val="00842E9B"/>
    <w:rsid w:val="00843332"/>
    <w:rsid w:val="008452EE"/>
    <w:rsid w:val="00850616"/>
    <w:rsid w:val="00850834"/>
    <w:rsid w:val="008607AE"/>
    <w:rsid w:val="0086100B"/>
    <w:rsid w:val="00862F0D"/>
    <w:rsid w:val="00863293"/>
    <w:rsid w:val="00865718"/>
    <w:rsid w:val="00870341"/>
    <w:rsid w:val="00877B9C"/>
    <w:rsid w:val="00885E73"/>
    <w:rsid w:val="00890700"/>
    <w:rsid w:val="00892E12"/>
    <w:rsid w:val="00893F43"/>
    <w:rsid w:val="008949E6"/>
    <w:rsid w:val="008A4DD4"/>
    <w:rsid w:val="008A77E9"/>
    <w:rsid w:val="008B1984"/>
    <w:rsid w:val="008B4E34"/>
    <w:rsid w:val="008B5365"/>
    <w:rsid w:val="008B5C8E"/>
    <w:rsid w:val="008B63D9"/>
    <w:rsid w:val="008C0362"/>
    <w:rsid w:val="008C436E"/>
    <w:rsid w:val="008E6381"/>
    <w:rsid w:val="008F467C"/>
    <w:rsid w:val="008F68A9"/>
    <w:rsid w:val="008F6C81"/>
    <w:rsid w:val="00906DF0"/>
    <w:rsid w:val="00911035"/>
    <w:rsid w:val="00924B06"/>
    <w:rsid w:val="009344E2"/>
    <w:rsid w:val="00934D79"/>
    <w:rsid w:val="00957F32"/>
    <w:rsid w:val="00960A36"/>
    <w:rsid w:val="00967AF0"/>
    <w:rsid w:val="00972DB0"/>
    <w:rsid w:val="00974B34"/>
    <w:rsid w:val="0099383E"/>
    <w:rsid w:val="009B1ECD"/>
    <w:rsid w:val="009B7175"/>
    <w:rsid w:val="009C276F"/>
    <w:rsid w:val="009D37E0"/>
    <w:rsid w:val="009F5AB5"/>
    <w:rsid w:val="009F7FF9"/>
    <w:rsid w:val="00A007AF"/>
    <w:rsid w:val="00A06019"/>
    <w:rsid w:val="00A14088"/>
    <w:rsid w:val="00A450EA"/>
    <w:rsid w:val="00A47FC6"/>
    <w:rsid w:val="00A51E0C"/>
    <w:rsid w:val="00A53ED8"/>
    <w:rsid w:val="00A60587"/>
    <w:rsid w:val="00A73906"/>
    <w:rsid w:val="00A76EB8"/>
    <w:rsid w:val="00A8349D"/>
    <w:rsid w:val="00A84F96"/>
    <w:rsid w:val="00A90E77"/>
    <w:rsid w:val="00A928C1"/>
    <w:rsid w:val="00A94ACE"/>
    <w:rsid w:val="00AA05A6"/>
    <w:rsid w:val="00AA0EAF"/>
    <w:rsid w:val="00AA0FE3"/>
    <w:rsid w:val="00AA21C5"/>
    <w:rsid w:val="00AA5CD9"/>
    <w:rsid w:val="00AB4A05"/>
    <w:rsid w:val="00AC233F"/>
    <w:rsid w:val="00AE0052"/>
    <w:rsid w:val="00AF255F"/>
    <w:rsid w:val="00AF6F21"/>
    <w:rsid w:val="00B015EA"/>
    <w:rsid w:val="00B41495"/>
    <w:rsid w:val="00B61683"/>
    <w:rsid w:val="00B61FB2"/>
    <w:rsid w:val="00B67BA6"/>
    <w:rsid w:val="00B877BC"/>
    <w:rsid w:val="00B90234"/>
    <w:rsid w:val="00B93171"/>
    <w:rsid w:val="00BA6071"/>
    <w:rsid w:val="00BB4028"/>
    <w:rsid w:val="00BB4510"/>
    <w:rsid w:val="00BC421B"/>
    <w:rsid w:val="00BC5A7D"/>
    <w:rsid w:val="00BD6724"/>
    <w:rsid w:val="00BD6D90"/>
    <w:rsid w:val="00BD7DF5"/>
    <w:rsid w:val="00BE2829"/>
    <w:rsid w:val="00BE7B9C"/>
    <w:rsid w:val="00BF2030"/>
    <w:rsid w:val="00BF6B5E"/>
    <w:rsid w:val="00BF7513"/>
    <w:rsid w:val="00BF7554"/>
    <w:rsid w:val="00C05C37"/>
    <w:rsid w:val="00C13091"/>
    <w:rsid w:val="00C23EA3"/>
    <w:rsid w:val="00C344C2"/>
    <w:rsid w:val="00C35D51"/>
    <w:rsid w:val="00C41894"/>
    <w:rsid w:val="00C602EA"/>
    <w:rsid w:val="00C73B26"/>
    <w:rsid w:val="00C80E05"/>
    <w:rsid w:val="00C948D7"/>
    <w:rsid w:val="00C961AB"/>
    <w:rsid w:val="00C9638D"/>
    <w:rsid w:val="00CA2C61"/>
    <w:rsid w:val="00CA66FD"/>
    <w:rsid w:val="00CB0A79"/>
    <w:rsid w:val="00CB41D7"/>
    <w:rsid w:val="00CD0709"/>
    <w:rsid w:val="00CF7ABB"/>
    <w:rsid w:val="00D043C5"/>
    <w:rsid w:val="00D101AA"/>
    <w:rsid w:val="00D142FD"/>
    <w:rsid w:val="00D21AA3"/>
    <w:rsid w:val="00D25753"/>
    <w:rsid w:val="00D34D4F"/>
    <w:rsid w:val="00D35105"/>
    <w:rsid w:val="00D4323F"/>
    <w:rsid w:val="00D55C0A"/>
    <w:rsid w:val="00D609FA"/>
    <w:rsid w:val="00D6440C"/>
    <w:rsid w:val="00D656F0"/>
    <w:rsid w:val="00D67A93"/>
    <w:rsid w:val="00D8019B"/>
    <w:rsid w:val="00D80A93"/>
    <w:rsid w:val="00D82BA6"/>
    <w:rsid w:val="00D86ECC"/>
    <w:rsid w:val="00D91793"/>
    <w:rsid w:val="00D92021"/>
    <w:rsid w:val="00DA5F79"/>
    <w:rsid w:val="00DA7888"/>
    <w:rsid w:val="00DE3EAA"/>
    <w:rsid w:val="00DE7823"/>
    <w:rsid w:val="00DF1A06"/>
    <w:rsid w:val="00DF3D27"/>
    <w:rsid w:val="00E02BD2"/>
    <w:rsid w:val="00E1018C"/>
    <w:rsid w:val="00E11940"/>
    <w:rsid w:val="00E206BE"/>
    <w:rsid w:val="00E261BD"/>
    <w:rsid w:val="00E2657F"/>
    <w:rsid w:val="00E268F1"/>
    <w:rsid w:val="00E3369F"/>
    <w:rsid w:val="00E37433"/>
    <w:rsid w:val="00E37C9E"/>
    <w:rsid w:val="00E40174"/>
    <w:rsid w:val="00E45699"/>
    <w:rsid w:val="00E46964"/>
    <w:rsid w:val="00E47A23"/>
    <w:rsid w:val="00E535B4"/>
    <w:rsid w:val="00E64B8F"/>
    <w:rsid w:val="00E7211B"/>
    <w:rsid w:val="00E816CB"/>
    <w:rsid w:val="00E90F55"/>
    <w:rsid w:val="00E925FE"/>
    <w:rsid w:val="00EA6936"/>
    <w:rsid w:val="00EC1E86"/>
    <w:rsid w:val="00ED67A5"/>
    <w:rsid w:val="00EE1A1A"/>
    <w:rsid w:val="00EE35FC"/>
    <w:rsid w:val="00EF3CDF"/>
    <w:rsid w:val="00F13846"/>
    <w:rsid w:val="00F24480"/>
    <w:rsid w:val="00F278EB"/>
    <w:rsid w:val="00F27C44"/>
    <w:rsid w:val="00F303E2"/>
    <w:rsid w:val="00F4478D"/>
    <w:rsid w:val="00F45F4D"/>
    <w:rsid w:val="00F46029"/>
    <w:rsid w:val="00F50E7B"/>
    <w:rsid w:val="00F53E0F"/>
    <w:rsid w:val="00F54CFB"/>
    <w:rsid w:val="00F65181"/>
    <w:rsid w:val="00F66B10"/>
    <w:rsid w:val="00F71194"/>
    <w:rsid w:val="00F73B6A"/>
    <w:rsid w:val="00F75FDF"/>
    <w:rsid w:val="00F7629B"/>
    <w:rsid w:val="00F83ECA"/>
    <w:rsid w:val="00F86B4D"/>
    <w:rsid w:val="00F9226B"/>
    <w:rsid w:val="00F92C3D"/>
    <w:rsid w:val="00FA1379"/>
    <w:rsid w:val="00FB52A7"/>
    <w:rsid w:val="00FC0778"/>
    <w:rsid w:val="00FC2971"/>
    <w:rsid w:val="00FC782E"/>
    <w:rsid w:val="00FD7A9B"/>
    <w:rsid w:val="00FE2974"/>
    <w:rsid w:val="00FE3D64"/>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5154F"/>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unhideWhenUsed/>
    <w:rsid w:val="004B1AE6"/>
    <w:pPr>
      <w:spacing w:line="240" w:lineRule="auto"/>
    </w:pPr>
    <w:rPr>
      <w:sz w:val="20"/>
      <w:szCs w:val="20"/>
    </w:rPr>
  </w:style>
  <w:style w:type="character" w:customStyle="1" w:styleId="TextkomenteChar">
    <w:name w:val="Text komentáře Char"/>
    <w:link w:val="Textkomente"/>
    <w:uiPriority w:val="99"/>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customStyle="1" w:styleId="cf01">
    <w:name w:val="cf01"/>
    <w:basedOn w:val="Standardnpsmoodstavce"/>
    <w:rsid w:val="00BC5A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566502285">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482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ck-onlin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96AB4-763F-4E24-8D33-CEDFFD10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Pages>
  <Words>1031</Words>
  <Characters>6083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Hálová Jana Ing.</cp:lastModifiedBy>
  <cp:revision>3</cp:revision>
  <cp:lastPrinted>2018-10-16T12:06:00Z</cp:lastPrinted>
  <dcterms:created xsi:type="dcterms:W3CDTF">2024-12-06T08:05:00Z</dcterms:created>
  <dcterms:modified xsi:type="dcterms:W3CDTF">2024-12-08T11:51:00Z</dcterms:modified>
</cp:coreProperties>
</file>