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2999" w:rsidRDefault="00F848F3">
      <w:pPr>
        <w:widowControl w:val="0"/>
        <w:tabs>
          <w:tab w:val="left" w:pos="5245"/>
        </w:tabs>
        <w:spacing w:after="0"/>
        <w:ind w:left="567" w:hanging="567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>SMLOUVA</w:t>
      </w:r>
    </w:p>
    <w:p w:rsidR="00E82999" w:rsidRDefault="00F848F3">
      <w:pPr>
        <w:widowControl w:val="0"/>
        <w:spacing w:after="0"/>
        <w:ind w:left="14" w:right="-13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 xml:space="preserve">o poskytnutí služeb </w:t>
      </w:r>
    </w:p>
    <w:p w:rsidR="00E82999" w:rsidRDefault="00F848F3">
      <w:pPr>
        <w:widowControl w:val="0"/>
        <w:spacing w:after="0"/>
        <w:ind w:left="14" w:right="-13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>týkajících se výstavy Terakotové armády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i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Oblastní muzeum v Mostě, </w:t>
      </w:r>
      <w:r>
        <w:rPr>
          <w:rFonts w:ascii="Calibri" w:eastAsia="Calibri" w:hAnsi="Calibri"/>
          <w:sz w:val="24"/>
          <w:szCs w:val="24"/>
        </w:rPr>
        <w:t xml:space="preserve">příspěvková organizace 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se sídlem:  Čsl. </w:t>
      </w:r>
      <w:proofErr w:type="gramStart"/>
      <w:r>
        <w:rPr>
          <w:rFonts w:ascii="Calibri" w:eastAsia="Calibri" w:hAnsi="Calibri"/>
          <w:sz w:val="24"/>
          <w:szCs w:val="24"/>
        </w:rPr>
        <w:t>armády</w:t>
      </w:r>
      <w:proofErr w:type="gramEnd"/>
      <w:r>
        <w:rPr>
          <w:rFonts w:ascii="Calibri" w:eastAsia="Calibri" w:hAnsi="Calibri"/>
          <w:sz w:val="24"/>
          <w:szCs w:val="24"/>
        </w:rPr>
        <w:t xml:space="preserve"> 1360/35, 434 01 Most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vedená u Krajského soudu v Ústí nad Labem, spisová značka </w:t>
      </w:r>
      <w:proofErr w:type="spellStart"/>
      <w:r>
        <w:rPr>
          <w:rFonts w:ascii="Calibri" w:eastAsia="Calibri" w:hAnsi="Calibri"/>
          <w:sz w:val="24"/>
          <w:szCs w:val="24"/>
        </w:rPr>
        <w:t>Pr</w:t>
      </w:r>
      <w:proofErr w:type="spellEnd"/>
      <w:r>
        <w:rPr>
          <w:rFonts w:ascii="Calibri" w:eastAsia="Calibri" w:hAnsi="Calibri"/>
          <w:sz w:val="24"/>
          <w:szCs w:val="24"/>
        </w:rPr>
        <w:t xml:space="preserve"> 472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zastoupená </w:t>
      </w:r>
      <w:r w:rsidRPr="007C2482">
        <w:rPr>
          <w:rFonts w:ascii="Calibri" w:eastAsia="Calibri" w:hAnsi="Calibri"/>
          <w:b/>
          <w:sz w:val="24"/>
          <w:szCs w:val="24"/>
          <w:highlight w:val="black"/>
        </w:rPr>
        <w:t>Mgr. Michalem Soukupem</w:t>
      </w:r>
      <w:r w:rsidR="00C01C0F">
        <w:rPr>
          <w:rFonts w:ascii="Calibri" w:eastAsia="Calibri" w:hAnsi="Calibri"/>
          <w:sz w:val="24"/>
          <w:szCs w:val="24"/>
        </w:rPr>
        <w:t>, ředitelem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IČ: 00080730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Číslo účtu</w:t>
      </w:r>
      <w:r w:rsidRPr="007C2482">
        <w:rPr>
          <w:rFonts w:ascii="Calibri" w:eastAsia="Calibri" w:hAnsi="Calibri"/>
          <w:color w:val="auto"/>
          <w:sz w:val="24"/>
          <w:szCs w:val="24"/>
          <w:highlight w:val="black"/>
        </w:rPr>
        <w:t>:</w:t>
      </w:r>
      <w:r w:rsidR="005E14C2" w:rsidRPr="007C2482">
        <w:rPr>
          <w:rFonts w:ascii="Calibri" w:eastAsia="Calibri" w:hAnsi="Calibri"/>
          <w:color w:val="auto"/>
          <w:sz w:val="24"/>
          <w:szCs w:val="24"/>
          <w:highlight w:val="black"/>
        </w:rPr>
        <w:t xml:space="preserve"> 3938491/0100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Bankovní spojení: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 Komerční banka, a.s.</w:t>
      </w:r>
    </w:p>
    <w:p w:rsidR="005E14C2" w:rsidRPr="00F25F86" w:rsidRDefault="005E14C2">
      <w:pPr>
        <w:spacing w:after="0"/>
        <w:rPr>
          <w:rFonts w:ascii="Calibri" w:eastAsia="Calibri" w:hAnsi="Calibri"/>
          <w:color w:val="auto"/>
          <w:sz w:val="8"/>
          <w:szCs w:val="8"/>
        </w:rPr>
      </w:pPr>
    </w:p>
    <w:p w:rsidR="005E14C2" w:rsidRPr="00F25F86" w:rsidRDefault="005E14C2">
      <w:pPr>
        <w:spacing w:after="0"/>
        <w:rPr>
          <w:rFonts w:ascii="Calibri" w:eastAsia="Calibri" w:hAnsi="Calibri"/>
          <w:color w:val="auto"/>
          <w:sz w:val="24"/>
          <w:szCs w:val="24"/>
          <w:u w:val="single"/>
        </w:rPr>
      </w:pPr>
      <w:r w:rsidRPr="00F25F86">
        <w:rPr>
          <w:rFonts w:ascii="Calibri" w:eastAsia="Calibri" w:hAnsi="Calibri"/>
          <w:color w:val="auto"/>
          <w:sz w:val="24"/>
          <w:szCs w:val="24"/>
          <w:u w:val="single"/>
        </w:rPr>
        <w:t>Není plátce DPH.</w:t>
      </w:r>
    </w:p>
    <w:p w:rsidR="005E14C2" w:rsidRPr="005E14C2" w:rsidRDefault="005E14C2">
      <w:pPr>
        <w:spacing w:after="0"/>
        <w:rPr>
          <w:rFonts w:ascii="Calibri" w:eastAsia="Calibri" w:hAnsi="Calibri"/>
          <w:sz w:val="8"/>
          <w:szCs w:val="8"/>
        </w:rPr>
      </w:pP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(dále jen „</w:t>
      </w:r>
      <w:r>
        <w:rPr>
          <w:rFonts w:ascii="Calibri" w:eastAsia="Calibri" w:hAnsi="Calibri"/>
          <w:b/>
          <w:sz w:val="24"/>
          <w:szCs w:val="24"/>
        </w:rPr>
        <w:t>MUZEUM</w:t>
      </w:r>
      <w:r>
        <w:rPr>
          <w:rFonts w:ascii="Calibri" w:eastAsia="Calibri" w:hAnsi="Calibri"/>
          <w:sz w:val="24"/>
          <w:szCs w:val="24"/>
        </w:rPr>
        <w:t>“)</w:t>
      </w:r>
    </w:p>
    <w:p w:rsidR="00E82999" w:rsidRDefault="00E82999">
      <w:pPr>
        <w:widowControl w:val="0"/>
        <w:spacing w:before="57" w:after="0"/>
        <w:ind w:left="33"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widowControl w:val="0"/>
        <w:spacing w:before="57" w:after="0"/>
        <w:ind w:left="33" w:right="-13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a</w:t>
      </w:r>
    </w:p>
    <w:p w:rsidR="00E82999" w:rsidRDefault="00E82999">
      <w:pPr>
        <w:widowControl w:val="0"/>
        <w:spacing w:before="57" w:after="0"/>
        <w:ind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i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GOVIN, s.r.o.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Zastoupená </w:t>
      </w:r>
      <w:r w:rsidRPr="007C2482">
        <w:rPr>
          <w:rFonts w:ascii="Calibri" w:eastAsia="Calibri" w:hAnsi="Calibri"/>
          <w:b/>
          <w:sz w:val="24"/>
          <w:szCs w:val="24"/>
          <w:highlight w:val="black"/>
        </w:rPr>
        <w:t>Mgr. Tomášem Palou</w:t>
      </w:r>
      <w:r>
        <w:rPr>
          <w:rFonts w:ascii="Calibri" w:eastAsia="Calibri" w:hAnsi="Calibri"/>
          <w:sz w:val="24"/>
          <w:szCs w:val="24"/>
        </w:rPr>
        <w:t>, jednatelem firmy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Sídlem: Veverkova 1229/9, 170 00 Praha 7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vedená u Městského soudu v Praze, spisová značka C 217406</w:t>
      </w:r>
      <w:bookmarkStart w:id="0" w:name="_GoBack"/>
      <w:bookmarkEnd w:id="0"/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IČ: 02250241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DIČ: CZ02250241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Číslo účtu: </w:t>
      </w:r>
      <w:r w:rsidRPr="007C2482">
        <w:rPr>
          <w:rFonts w:ascii="Calibri" w:eastAsia="Calibri" w:hAnsi="Calibri"/>
          <w:sz w:val="24"/>
          <w:szCs w:val="24"/>
          <w:highlight w:val="black"/>
        </w:rPr>
        <w:t>107-5950710287/0100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Bankovní spojení: Komerční banka, a.s.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(dále jen „ </w:t>
      </w:r>
      <w:r>
        <w:rPr>
          <w:rFonts w:ascii="Calibri" w:eastAsia="Calibri" w:hAnsi="Calibri"/>
          <w:b/>
          <w:sz w:val="24"/>
          <w:szCs w:val="24"/>
        </w:rPr>
        <w:t>GOVIN</w:t>
      </w:r>
      <w:r>
        <w:rPr>
          <w:rFonts w:ascii="Calibri" w:eastAsia="Calibri" w:hAnsi="Calibri"/>
          <w:sz w:val="24"/>
          <w:szCs w:val="24"/>
        </w:rPr>
        <w:t>“)</w:t>
      </w:r>
    </w:p>
    <w:p w:rsidR="00E82999" w:rsidRDefault="00E82999">
      <w:pPr>
        <w:spacing w:after="0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shora uvedené smluvní strany uzavřely níže uvedeného dne, měsíce a roku tuto smlouvu: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1</w:t>
      </w: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Úvodní ujednání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b/>
          <w:sz w:val="24"/>
          <w:szCs w:val="24"/>
        </w:rPr>
      </w:pPr>
    </w:p>
    <w:p w:rsidR="00E82999" w:rsidRPr="00F25F86" w:rsidRDefault="00F848F3">
      <w:pPr>
        <w:widowControl w:val="0"/>
        <w:jc w:val="both"/>
        <w:rPr>
          <w:rFonts w:ascii="Calibri" w:eastAsia="Calibri" w:hAnsi="Calibri"/>
          <w:color w:val="auto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Tato smlouva obsahuje úpravu závazků, jež vzniknou mezi smluvními stranami při organizaci výstavy Terakotové armády (dále i jako „VÝSTAVA“), která je realizována v návaznosti na nabídku GOVIN učiněnou Ústeckému kraji, zřizovateli MUZEA. Jedná se o putovní výstavu certifikovaných kopií soch terakotové armády. VÝSTAVA má záštitu Ministerstva pro místní rozvoj ČR a </w:t>
      </w:r>
      <w:proofErr w:type="spellStart"/>
      <w:r>
        <w:rPr>
          <w:rFonts w:ascii="Calibri" w:eastAsia="Calibri" w:hAnsi="Calibri"/>
          <w:sz w:val="24"/>
          <w:szCs w:val="24"/>
        </w:rPr>
        <w:t>CzechTourism</w:t>
      </w:r>
      <w:proofErr w:type="spellEnd"/>
      <w:r>
        <w:rPr>
          <w:rFonts w:ascii="Calibri" w:eastAsia="Calibri" w:hAnsi="Calibri"/>
          <w:sz w:val="24"/>
          <w:szCs w:val="24"/>
        </w:rPr>
        <w:t xml:space="preserve"> pro rok 2017. </w:t>
      </w:r>
      <w:r w:rsidRPr="00F25F86">
        <w:rPr>
          <w:rFonts w:ascii="Calibri" w:eastAsia="Calibri" w:hAnsi="Calibri"/>
          <w:color w:val="auto"/>
          <w:sz w:val="24"/>
          <w:szCs w:val="24"/>
        </w:rPr>
        <w:t xml:space="preserve">Organizátorem VÝSTAVY je 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MUZEUM a </w:t>
      </w:r>
      <w:r w:rsidR="00815B22" w:rsidRPr="00F25F86">
        <w:rPr>
          <w:rFonts w:ascii="Calibri" w:eastAsia="Calibri" w:hAnsi="Calibri"/>
          <w:color w:val="auto"/>
          <w:sz w:val="24"/>
          <w:szCs w:val="24"/>
        </w:rPr>
        <w:t>poskytovatele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m </w:t>
      </w:r>
      <w:r w:rsidRPr="00F25F86">
        <w:rPr>
          <w:rFonts w:ascii="Calibri" w:eastAsia="Calibri" w:hAnsi="Calibri"/>
          <w:color w:val="auto"/>
          <w:sz w:val="24"/>
          <w:szCs w:val="24"/>
        </w:rPr>
        <w:t xml:space="preserve">VÝSTAVY tzv. na klíč 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>je GOVIN. Některé procesy zajišťují MUZEUM a GOVIN v součinnosti, což je dále specifikováno ve smlouvě.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Článek 2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Předmět smlouvy</w:t>
      </w:r>
    </w:p>
    <w:p w:rsidR="00E82999" w:rsidRDefault="00E82999">
      <w:pPr>
        <w:keepNext/>
        <w:keepLines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1. Předmětem této smlouvy jsou vzájemné závazky smluvních stran související s realizací VÝSTAVY. GOVIN se zavazuje podle této smlouvy zajistit VÝSTAVU v rozsahu, termínu, místě a za podmínek v této smlouvě uvedených. MUZEUM se zavazuje uhradit GOVIN odměnu a poskytnout součinnost v rozsahu a za podmínek v této smlouvě uvedených. Obě strany se pokusí podpořit ziskovost akce skrze své kanály (sponzoři, příjem z prodeje vstupenek, doprovodné akce) a budou sdílet zisk způsobem dle ujednání v bodě 3.4.</w:t>
      </w: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2. GOVIN se zavazuj</w:t>
      </w:r>
      <w:r w:rsidR="005E14C2">
        <w:rPr>
          <w:rFonts w:ascii="Calibri" w:eastAsia="Calibri" w:hAnsi="Calibri"/>
          <w:sz w:val="24"/>
          <w:szCs w:val="24"/>
        </w:rPr>
        <w:t>e poskytnout MUZEU tyto služby:</w:t>
      </w:r>
    </w:p>
    <w:p w:rsidR="0090645D" w:rsidRPr="00F25F86" w:rsidRDefault="005E14C2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Kompletní instalaci</w:t>
      </w:r>
      <w:r w:rsidR="00F848F3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VÝSTAVY v období od </w:t>
      </w:r>
      <w:r w:rsidR="00F25F86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26</w:t>
      </w:r>
      <w:r w:rsidR="00815B22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. září do 14. ledna 2018, s tím, že prvních </w:t>
      </w:r>
      <w:r w:rsidR="00F25F86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devět</w:t>
      </w:r>
      <w:r w:rsidR="00815B22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a posledních sedm dní je vyhrazeno na montáž a demontáž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, a to dle konceptu navrženého podle prostorových možností místa konání, včetně osvětlení a hudebního podkladu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. Výstavní soubor zahrnuje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68 ks certifikovaných replik soch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životní velikosti (14 různých druhů soch),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2 ks soch koně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životní velikosti,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15 ks železných kopí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3 ks dřevěných luků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2 ks vitrín s replikou bojového vozu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(2 různé druhy),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nespecifikovaný počet střepů ze soch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pro vytvoření „vykopávek“.</w:t>
      </w:r>
    </w:p>
    <w:p w:rsidR="00815B22" w:rsidRPr="00F25F86" w:rsidRDefault="006007CD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hAnsiTheme="minorHAnsi" w:cstheme="minorHAnsi"/>
          <w:color w:val="auto"/>
          <w:sz w:val="24"/>
          <w:szCs w:val="24"/>
        </w:rPr>
        <w:t>Úplné d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>okončen</w:t>
      </w:r>
      <w:r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í montáže výstavy 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nejpozději </w:t>
      </w:r>
      <w:r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dne 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>5. října 2017 do 12.00 hodin,</w:t>
      </w:r>
    </w:p>
    <w:p w:rsidR="001A78DA" w:rsidRPr="00F25F86" w:rsidRDefault="00815B22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opravu na místo konání, vyložení, naložení, a odvezení z místa konání,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dodání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infotabulí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5 jazykových mutacích CZ, ENG, DE, RUS, CHN,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informačních cedulí popisujících jednotlivé vojáky,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mobilního průvodce výstavou v 5 jazykových mutacích CZ, ENG, DE, RUS, CHN,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vybudování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fotokoutku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pro návštěvníky,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promítání filmu/dokumentu o terakotové armádě v angličtině s českými titulky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hAnsiTheme="minorHAnsi" w:cstheme="minorHAnsi"/>
          <w:color w:val="auto"/>
        </w:rPr>
        <w:t>t</w:t>
      </w: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echnickou podporu po dobu výstavy v rozsahu zajištění plné funkčnosti VÝSTAVY,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marketingovou podporu na webu,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Facebooku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a dalších mediálních kanálech,</w:t>
      </w:r>
    </w:p>
    <w:p w:rsidR="001A78DA" w:rsidRPr="00F25F86" w:rsidRDefault="0090645D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rodej vstupenek a suvenýrů (vlastní pokladní systém napojený na EET GOVIN a platební terminál),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zajištění suvenýrů k VÝSTAVĚ (klíčenky, propisky, magnetky, jednotlivé so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chy, sady, repliky vozů, apod.),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dodání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bannerových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plachet o rozměrech 4,5m výška x 51m délka; 8m výška x 12m délka + doplňkové ban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nery s termínem a místem konání,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grafického designu VÝSTAVY, včetně značení, šipek, případné řezané grafiky.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plaká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tů a letáků v různých rozměrech,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proškolení či zajištění průvodce pro komentované pr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ohlídky s výkladem, dle potřeby,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pojištění soch a předmětů proti odcizení či poškození tak, aby odpovídalo podmínkám místa konání VÝSTAVY.</w:t>
      </w:r>
    </w:p>
    <w:p w:rsidR="001A78DA" w:rsidRPr="00C22446" w:rsidRDefault="001A78DA" w:rsidP="001A78DA">
      <w:pPr>
        <w:spacing w:after="0"/>
        <w:contextualSpacing/>
        <w:rPr>
          <w:color w:val="FF0000"/>
          <w:sz w:val="24"/>
          <w:szCs w:val="24"/>
        </w:rPr>
      </w:pPr>
    </w:p>
    <w:p w:rsidR="00E82999" w:rsidRDefault="00F848F3">
      <w:pPr>
        <w:spacing w:line="276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3. MUZEUM se zavazuje poskytnout GOVIN tuto součinnost:</w:t>
      </w:r>
    </w:p>
    <w:p w:rsidR="00E82999" w:rsidRPr="00F25F86" w:rsidRDefault="00F848F3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lastRenderedPageBreak/>
        <w:t>Bezplatné poskytnutí dohodnutých prostor pro realizaci VÝSTAVY v dohodnuté době a jejich zpřístupnění v době p</w:t>
      </w:r>
      <w:r w:rsidR="00B3330B" w:rsidRPr="00F25F86">
        <w:rPr>
          <w:rFonts w:asciiTheme="minorHAnsi" w:eastAsia="Calibri" w:hAnsiTheme="minorHAnsi" w:cstheme="minorHAnsi"/>
          <w:color w:val="auto"/>
          <w:sz w:val="24"/>
        </w:rPr>
        <w:t>řípravy VÝSTAVY v době nezbytné,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d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odání půdorysu či jiného plánku prostor pro přípravu VÝSTAVY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, a to při podpisu této smlouvy,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z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ajištění technického zařízení VÝSTAVY – vyklizení prostor pro realizaci VÝSTAVY (nezahrnuje malířské, stavební a podobné práce), úklid, umožnění uskladnění přepravních beden (min. 65m</w:t>
      </w:r>
      <w:r w:rsidR="00F848F3" w:rsidRPr="00F25F86">
        <w:rPr>
          <w:rFonts w:asciiTheme="minorHAnsi" w:eastAsia="Calibri" w:hAnsiTheme="minorHAnsi" w:cstheme="minorHAnsi"/>
          <w:color w:val="auto"/>
          <w:sz w:val="24"/>
          <w:vertAlign w:val="superscript"/>
        </w:rPr>
        <w:t>2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), napojení elektrické energie,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i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nternetové připojení v pro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storu pokladny i VÝSTAVY (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</w:rPr>
        <w:t>wifi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</w:rPr>
        <w:t>),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p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oskytnutí osoby zajišťující</w:t>
      </w:r>
      <w:r w:rsidRPr="00F25F86">
        <w:rPr>
          <w:rFonts w:asciiTheme="minorHAnsi" w:eastAsia="Calibri" w:hAnsiTheme="minorHAnsi" w:cstheme="minorHAnsi"/>
          <w:color w:val="auto"/>
          <w:sz w:val="24"/>
        </w:rPr>
        <w:t xml:space="preserve"> návštěvnický provoz VÝSTAVY a dohled v místě konání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, po</w:t>
      </w:r>
      <w:r w:rsidRPr="00F25F86">
        <w:rPr>
          <w:rFonts w:asciiTheme="minorHAnsi" w:eastAsia="Calibri" w:hAnsiTheme="minorHAnsi" w:cstheme="minorHAnsi"/>
          <w:color w:val="auto"/>
          <w:sz w:val="24"/>
        </w:rPr>
        <w:t xml:space="preserve"> dobu otevíracích hodin výstavy, včetně kontroly stavu exponátů v závěru každého dne,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p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oskytnutí další technické podpory – kamerový systém v prostoru konání VÝSTAVY, 24h bezpečnostní služba (GOVIN byl se stávajícím systémem seznáme</w:t>
      </w:r>
      <w:r w:rsidR="008F4ECA" w:rsidRPr="00F25F86">
        <w:rPr>
          <w:rFonts w:asciiTheme="minorHAnsi" w:eastAsia="Calibri" w:hAnsiTheme="minorHAnsi" w:cstheme="minorHAnsi"/>
          <w:color w:val="auto"/>
          <w:sz w:val="24"/>
        </w:rPr>
        <w:t>n a je považován za dostatečný),</w:t>
      </w:r>
    </w:p>
    <w:p w:rsidR="00E82999" w:rsidRPr="00F25F86" w:rsidRDefault="008F4ECA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ú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klid prostor výstav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y (denně, případně dle potřeby),</w:t>
      </w:r>
    </w:p>
    <w:p w:rsidR="00E82999" w:rsidRPr="00F25F86" w:rsidRDefault="008F4ECA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m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arketingovou podporu výstavy ve městě, kraji a místních médiích a dalších kanálech, které má k dispozici.</w:t>
      </w:r>
    </w:p>
    <w:p w:rsidR="008F4ECA" w:rsidRDefault="008F4ECA" w:rsidP="008F4ECA">
      <w:pPr>
        <w:spacing w:line="276" w:lineRule="auto"/>
        <w:ind w:left="426"/>
        <w:contextualSpacing/>
        <w:jc w:val="both"/>
        <w:rPr>
          <w:sz w:val="24"/>
          <w:szCs w:val="24"/>
        </w:rPr>
      </w:pPr>
    </w:p>
    <w:p w:rsidR="00E82999" w:rsidRPr="00F25F86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2. 4. Pro odstranění pochybností smluvní strany potvrzují, že GOVIN dodává VÝSTAVU tzv. na klíč a bez ohledu na vymezení jednotlivých činností v bodu 2. 2. této smlouvy je p</w:t>
      </w:r>
      <w:r w:rsidR="008F4ECA" w:rsidRPr="00F25F86">
        <w:rPr>
          <w:rFonts w:ascii="Calibri" w:eastAsia="Calibri" w:hAnsi="Calibri"/>
          <w:color w:val="auto"/>
          <w:sz w:val="24"/>
          <w:szCs w:val="24"/>
        </w:rPr>
        <w:t xml:space="preserve">ovinen zajistit, aby </w:t>
      </w:r>
      <w:r w:rsidRPr="00F25F86">
        <w:rPr>
          <w:rFonts w:ascii="Calibri" w:eastAsia="Calibri" w:hAnsi="Calibri"/>
          <w:color w:val="auto"/>
          <w:sz w:val="24"/>
          <w:szCs w:val="24"/>
        </w:rPr>
        <w:t>VÝSTAVA odpovídala dohodnutému konceptu a byla plně funkční po dobu jejího konání, to vše za podmínky poskytnutí řádné a včasné součinnosti ze strany MUZEA dle bodu 2. 3. této smlouvy.</w:t>
      </w: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8F4ECA" w:rsidRDefault="008F4ECA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3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Odměna, sdílení zisku a ostatní platební ujednání</w:t>
      </w:r>
    </w:p>
    <w:p w:rsidR="00E82999" w:rsidRDefault="00E82999">
      <w:pPr>
        <w:keepNext/>
        <w:keepLines/>
        <w:spacing w:after="0"/>
        <w:ind w:left="2832" w:right="-11"/>
        <w:jc w:val="both"/>
        <w:rPr>
          <w:rFonts w:ascii="Calibri" w:eastAsia="Calibri" w:hAnsi="Calibri"/>
          <w:b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1. Obě smluvní strany se dohodly, že MUZEUM zaplatí GOVIN za služby poskytnuté při plnění předmětu této smlouvy odměnu 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453</w:t>
      </w:r>
      <w:r w:rsidR="00F36A5B" w:rsidRPr="003E4902">
        <w:rPr>
          <w:rFonts w:ascii="Calibri" w:eastAsia="Calibri" w:hAnsi="Calibri"/>
          <w:b/>
          <w:color w:val="auto"/>
          <w:sz w:val="24"/>
          <w:szCs w:val="24"/>
        </w:rPr>
        <w:t> 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750,- Kč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(slovy: čtyři sta padesát tři tisíc sedm set padesát korun českých) 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v níž je započítána </w:t>
      </w:r>
      <w:r w:rsidRPr="003E4902">
        <w:rPr>
          <w:rFonts w:ascii="Calibri" w:eastAsia="Calibri" w:hAnsi="Calibri"/>
          <w:color w:val="auto"/>
          <w:sz w:val="24"/>
          <w:szCs w:val="24"/>
        </w:rPr>
        <w:t>21 % DPH. Odměna je sjednaná jako úplná, pevná a nepřekročitelná a zahrnuje veškeré náklady, které GOVIN v souvislosti s plněním předmětu smlouvy vzniknou.</w:t>
      </w:r>
    </w:p>
    <w:p w:rsidR="00E82999" w:rsidRPr="003E4902" w:rsidRDefault="00E82999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2. První část odměny ve výši 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181</w:t>
      </w:r>
      <w:r w:rsidR="00C01C0F" w:rsidRPr="003E4902">
        <w:rPr>
          <w:rFonts w:ascii="Calibri" w:eastAsia="Calibri" w:hAnsi="Calibri"/>
          <w:b/>
          <w:color w:val="auto"/>
          <w:sz w:val="24"/>
          <w:szCs w:val="24"/>
        </w:rPr>
        <w:t> 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500,- Kč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(slovy: sto osmdesát jedna tisíc pět set korun českých)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, v níž je započtena 21 </w:t>
      </w:r>
      <w:r w:rsidRPr="003E4902">
        <w:rPr>
          <w:rFonts w:ascii="Calibri" w:eastAsia="Calibri" w:hAnsi="Calibri"/>
          <w:color w:val="auto"/>
          <w:sz w:val="24"/>
          <w:szCs w:val="24"/>
        </w:rPr>
        <w:t>% DPH, je splatná na základně daňového dokladu vystaveného do 31.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7.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2017 a doručeného MUZEU se splatností do 31.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8.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2017.</w:t>
      </w:r>
    </w:p>
    <w:p w:rsidR="00E82999" w:rsidRPr="003E4902" w:rsidRDefault="00E82999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3. Druhá část odměny ve výši 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272</w:t>
      </w:r>
      <w:r w:rsidR="00C01C0F" w:rsidRPr="003E4902">
        <w:rPr>
          <w:rFonts w:ascii="Calibri" w:eastAsia="Calibri" w:hAnsi="Calibri"/>
          <w:b/>
          <w:color w:val="auto"/>
          <w:sz w:val="24"/>
          <w:szCs w:val="24"/>
        </w:rPr>
        <w:t> </w:t>
      </w:r>
      <w:r w:rsidRPr="003E4902">
        <w:rPr>
          <w:rFonts w:ascii="Calibri" w:eastAsia="Calibri" w:hAnsi="Calibri"/>
          <w:b/>
          <w:color w:val="auto"/>
          <w:sz w:val="24"/>
          <w:szCs w:val="24"/>
        </w:rPr>
        <w:t>250,- Kč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(slovy: dvě stě sedmdesát dva tisíc dvě stě padesát korun českých) 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>v níž je započtena 21 % DPH,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je splatná na základně daňového dokladu vystaveného do 2. 10. 2017, a doručeného MUZ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>EU se splatností do 31. 10. 2017.</w:t>
      </w:r>
    </w:p>
    <w:p w:rsidR="00E82999" w:rsidRDefault="00E82999">
      <w:pPr>
        <w:spacing w:after="0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3. 4. Zisk z prodeje vstupného a suvenýrů bude rozdělen po odečtení nákladů v poměru 50% GOVIN a 50% MUZEUM. Ceny vstupného i suvenýrů včetně pořizovacích nákladů budou upřesněny dodatkem k této smlouvě, podepsaným oběma stran</w:t>
      </w:r>
      <w:r w:rsidR="00134D7E">
        <w:rPr>
          <w:rFonts w:ascii="Calibri" w:eastAsia="Calibri" w:hAnsi="Calibri"/>
          <w:sz w:val="24"/>
          <w:szCs w:val="24"/>
        </w:rPr>
        <w:t>ami nejpozději do 31. 8. 2017.</w:t>
      </w:r>
    </w:p>
    <w:p w:rsidR="00E82999" w:rsidRDefault="00E82999">
      <w:pPr>
        <w:spacing w:after="0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3. 5. Jestliže bez zavinění GOVIN nebo MUZEA dojde v průběhu poskytování služeb k nutnosti provést služby odchylně a tím dojde i k možnému zvýšení nákladů, které by mohlo vést ke zvýšení odměny, je povinen GOVIN prokázat, že se jedná o objektivní skutečnost, kterou nebylo možné s vynaložením veškeré námahy odvrátit a stejně tak odůvodnit zvýšení nákladů. Předpokladem změny závazku je uzavření dodatku k této smlouvě. V případě hrozící škody je GOVIN oprávněn učinit pouze neodkladné úkony - neodkladně informovat MUZEUM s tím, že GOVIN náleží pouze nezbytné náklady vynalož</w:t>
      </w:r>
      <w:r w:rsidR="00815B22">
        <w:rPr>
          <w:rFonts w:ascii="Calibri" w:eastAsia="Calibri" w:hAnsi="Calibri"/>
          <w:sz w:val="24"/>
          <w:szCs w:val="24"/>
        </w:rPr>
        <w:t>ené na zabránění hrozící škody.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3. 6. Dohodnutá část sdíleného zisku dle bodu 3. 4. bude na základě měsíčního vyúčtování a dat z prodejního systému vyčíslena ve vyúčtovacím protokolu, který předloží GOVIN MUZEU do 5 pracovních dnů násl</w:t>
      </w:r>
      <w:r w:rsidR="00134D7E">
        <w:rPr>
          <w:rFonts w:ascii="Calibri" w:eastAsia="Calibri" w:hAnsi="Calibri"/>
          <w:sz w:val="24"/>
          <w:szCs w:val="24"/>
        </w:rPr>
        <w:t xml:space="preserve">edujícího kalendářního měsíce. </w:t>
      </w:r>
      <w:r>
        <w:rPr>
          <w:rFonts w:ascii="Calibri" w:eastAsia="Calibri" w:hAnsi="Calibri"/>
          <w:sz w:val="24"/>
          <w:szCs w:val="24"/>
        </w:rPr>
        <w:t>Na základě tohoto vyúčtovacího protokolu vystaví MUZEUM faktu</w:t>
      </w:r>
      <w:r w:rsidR="00134D7E">
        <w:rPr>
          <w:rFonts w:ascii="Calibri" w:eastAsia="Calibri" w:hAnsi="Calibri"/>
          <w:sz w:val="24"/>
          <w:szCs w:val="24"/>
        </w:rPr>
        <w:t>ru GOVIN se splatností 30 dní.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</w:rPr>
        <w:t xml:space="preserve">3. 7. </w:t>
      </w:r>
      <w:r>
        <w:rPr>
          <w:rFonts w:ascii="Calibri" w:eastAsia="Calibri" w:hAnsi="Calibri"/>
          <w:sz w:val="24"/>
          <w:szCs w:val="24"/>
        </w:rPr>
        <w:t>Veškeré, smluvními stranami vystavené daňové doklady (faktury) musí obsahovat zákonem stanovené nálež</w:t>
      </w:r>
      <w:r w:rsidR="00134D7E">
        <w:rPr>
          <w:rFonts w:ascii="Calibri" w:eastAsia="Calibri" w:hAnsi="Calibri"/>
          <w:sz w:val="24"/>
          <w:szCs w:val="24"/>
        </w:rPr>
        <w:t>itosti a odpovídat ujednáním</w:t>
      </w:r>
      <w:r>
        <w:rPr>
          <w:rFonts w:ascii="Calibri" w:eastAsia="Calibri" w:hAnsi="Calibri"/>
          <w:sz w:val="24"/>
          <w:szCs w:val="24"/>
        </w:rPr>
        <w:t xml:space="preserve"> této smlouvy. V případě, že daňový doklad (faktura) nebude mít uvedené náležitosti, smluvní strana je povinna bez zbytečného odkladu doklad vrátit zpět vystaviteli k doplnění a nedostává se do prodlení se splněním svého peněži</w:t>
      </w:r>
      <w:r w:rsidR="00134D7E">
        <w:rPr>
          <w:rFonts w:ascii="Calibri" w:eastAsia="Calibri" w:hAnsi="Calibri"/>
          <w:sz w:val="24"/>
          <w:szCs w:val="24"/>
        </w:rPr>
        <w:t xml:space="preserve">tého závazku. Smluvní strany </w:t>
      </w:r>
      <w:r>
        <w:rPr>
          <w:rFonts w:ascii="Calibri" w:eastAsia="Calibri" w:hAnsi="Calibri"/>
          <w:sz w:val="24"/>
          <w:szCs w:val="24"/>
        </w:rPr>
        <w:t xml:space="preserve">sjednávají, že doba splatnosti musí činit minimálně 14 dnů od doručení bezvadného (doplněného) daňového dokladu (faktury), nebo dobu splatnosti uvedenou ve smlouvě, pokud je tato delší. </w:t>
      </w: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4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Doba a místo plnění</w:t>
      </w:r>
    </w:p>
    <w:p w:rsidR="00E82999" w:rsidRDefault="00E82999">
      <w:pPr>
        <w:widowControl w:val="0"/>
        <w:tabs>
          <w:tab w:val="left" w:pos="7584"/>
        </w:tabs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GOVIN se zavazuje plnit své závazky v termínech uvedených v této smlouvě v místě konání VÝSTAVY, tj. v sídle MUZEA, v dohodnutých  prostorách, jejichž plánek byl MUZEEM při pod</w:t>
      </w:r>
      <w:r w:rsidR="00134D7E">
        <w:rPr>
          <w:rFonts w:ascii="Calibri" w:eastAsia="Calibri" w:hAnsi="Calibri"/>
          <w:sz w:val="24"/>
          <w:szCs w:val="24"/>
        </w:rPr>
        <w:t>pisu této smlouvy GOVIN předán.</w:t>
      </w:r>
    </w:p>
    <w:p w:rsidR="00E82999" w:rsidRDefault="00E82999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5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Práva a povinnosti smluvních stran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before="60" w:after="12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1. Smluvní strany jsou oprávněny dohodou kdykoliv ukončit účinnost této smlouvy, podmínkou však je dohoda o vypořádání odměny a sdíleného zisku. Kterákoliv ze smluvních stran je oprávněna od této smlouvy odstoupit z důvodu podstatného porušení povinnosti podle této smlouvy druhou ze smluvních stran nebo z jiného, zákonem stanoveného důvodu. Oznámení o odstoupení musí být doručeno druhé smluvní straně v písemné formě pod sankcí neplatnosti. Účinky oznámení o odstoupení nastávají okamžikem jeho doručení druhé smluvní </w:t>
      </w:r>
      <w:r>
        <w:rPr>
          <w:rFonts w:ascii="Calibri" w:eastAsia="Calibri" w:hAnsi="Calibri"/>
          <w:sz w:val="24"/>
          <w:szCs w:val="24"/>
        </w:rPr>
        <w:lastRenderedPageBreak/>
        <w:t>straně. V případě odstoupení od této smlouvy jsou smluvní strany si povinny vypořádat své nároky z jejího plnění, a to do 30 dnů ode dne</w:t>
      </w:r>
      <w:r w:rsidR="00134D7E">
        <w:rPr>
          <w:rFonts w:ascii="Calibri" w:eastAsia="Calibri" w:hAnsi="Calibri"/>
          <w:sz w:val="24"/>
          <w:szCs w:val="24"/>
        </w:rPr>
        <w:t xml:space="preserve"> zániku účinnosti této smlouvy.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5. 2. GOVIN jmenuje kontaktní osobu, která bude koordinovat organizační, personální a technické zajištění plnění ze strany GOVIN</w:t>
      </w:r>
      <w:r w:rsidR="00855A8D">
        <w:rPr>
          <w:rFonts w:ascii="Calibri" w:eastAsia="Calibri" w:hAnsi="Calibri"/>
          <w:sz w:val="24"/>
          <w:szCs w:val="24"/>
        </w:rPr>
        <w:t xml:space="preserve"> – tou je Ing. Kamil Žurek, tel. č. 605 210 886</w:t>
      </w:r>
      <w:r>
        <w:rPr>
          <w:rFonts w:ascii="Calibri" w:eastAsia="Calibri" w:hAnsi="Calibri"/>
          <w:sz w:val="24"/>
          <w:szCs w:val="24"/>
        </w:rPr>
        <w:t>. MUZEUM má právo na průběžnou dostupnost kontaktního pracovníka GOVIN pro potřeby konzultací při plnění závazků GOVIN dle této smlouvy.</w:t>
      </w:r>
    </w:p>
    <w:p w:rsidR="00E82999" w:rsidRPr="00855A8D" w:rsidRDefault="00F848F3">
      <w:pPr>
        <w:widowControl w:val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855A8D">
        <w:rPr>
          <w:rFonts w:ascii="Calibri" w:eastAsia="Calibri" w:hAnsi="Calibri"/>
          <w:color w:val="auto"/>
          <w:sz w:val="24"/>
          <w:szCs w:val="24"/>
        </w:rPr>
        <w:t>5. 3. MUZEUM jmenuje kontaktní osobu pro spolupráci s GOVIN za účelem koordinace organizačního, personálního a technického zajištění plnění ze strany GOVIN</w:t>
      </w:r>
      <w:r w:rsidR="00134D7E" w:rsidRPr="00855A8D">
        <w:rPr>
          <w:rFonts w:ascii="Calibri" w:eastAsia="Calibri" w:hAnsi="Calibri"/>
          <w:color w:val="auto"/>
          <w:sz w:val="24"/>
          <w:szCs w:val="24"/>
        </w:rPr>
        <w:t xml:space="preserve"> – tou je Mgr. Michal Soukup, tel. č. 728 736 457</w:t>
      </w:r>
      <w:r w:rsidRPr="00855A8D">
        <w:rPr>
          <w:rFonts w:ascii="Calibri" w:eastAsia="Calibri" w:hAnsi="Calibri"/>
          <w:color w:val="auto"/>
          <w:sz w:val="24"/>
          <w:szCs w:val="24"/>
        </w:rPr>
        <w:t>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5. 4. GOVIN prohlašuje, že je seznámen s prostory konání VÝSTAVY (místo plnění závazku k realizaci VÝSTAVY) a není mu známa žádná skutečnost, která by realizaci VÝSTAVY z jeho strany bránila. Jak prostorové, tak technické vybavení je vhodné a dostačující.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5. O instalaci a </w:t>
      </w:r>
      <w:proofErr w:type="spellStart"/>
      <w:r>
        <w:rPr>
          <w:rFonts w:ascii="Calibri" w:eastAsia="Calibri" w:hAnsi="Calibri"/>
          <w:sz w:val="24"/>
          <w:szCs w:val="24"/>
        </w:rPr>
        <w:t>deinstalaci</w:t>
      </w:r>
      <w:proofErr w:type="spellEnd"/>
      <w:r>
        <w:rPr>
          <w:rFonts w:ascii="Calibri" w:eastAsia="Calibri" w:hAnsi="Calibri"/>
          <w:sz w:val="24"/>
          <w:szCs w:val="24"/>
        </w:rPr>
        <w:t xml:space="preserve"> výstavy bude smluvní</w:t>
      </w:r>
      <w:r w:rsidR="00C01C0F">
        <w:rPr>
          <w:rFonts w:ascii="Calibri" w:eastAsia="Calibri" w:hAnsi="Calibri"/>
          <w:sz w:val="24"/>
          <w:szCs w:val="24"/>
        </w:rPr>
        <w:t>mi stranami vyhotoven protokol.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6. Pracovník MUZEA, který bude zajišťovat konání VÝSTAVY, je povinen po skončení otevírací doby výstavy provést důkladnou prohlídku VÝSTAVY za účelem zjištění případných škod tak, aby bylo možné využít záznamů z kamerového systému, které se ukládají pouze po dobu 24 hodin. MUZEUM neodpovídá GOVIN za vznik škody v rámci předmětů, které tvoří VÝSTAVU, která vznikla jinak, než zaviněným porušením jeho povinností. Vzhledem k povinnosti pojištění dle bodu </w:t>
      </w:r>
      <w:proofErr w:type="gramStart"/>
      <w:r>
        <w:rPr>
          <w:rFonts w:ascii="Calibri" w:eastAsia="Calibri" w:hAnsi="Calibri"/>
          <w:sz w:val="24"/>
          <w:szCs w:val="24"/>
        </w:rPr>
        <w:t>2.2. této</w:t>
      </w:r>
      <w:proofErr w:type="gramEnd"/>
      <w:r>
        <w:rPr>
          <w:rFonts w:ascii="Calibri" w:eastAsia="Calibri" w:hAnsi="Calibri"/>
          <w:sz w:val="24"/>
          <w:szCs w:val="24"/>
        </w:rPr>
        <w:t xml:space="preserve"> smlouvy by majetková práva GOVIN</w:t>
      </w:r>
      <w:r w:rsidR="00C01C0F">
        <w:rPr>
          <w:rFonts w:ascii="Calibri" w:eastAsia="Calibri" w:hAnsi="Calibri"/>
          <w:sz w:val="24"/>
          <w:szCs w:val="24"/>
        </w:rPr>
        <w:t xml:space="preserve"> měla být dostatečně ochráněna.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bookmarkStart w:id="1" w:name="_gjdgxs" w:colFirst="0" w:colLast="0"/>
      <w:bookmarkEnd w:id="1"/>
      <w:r>
        <w:rPr>
          <w:rFonts w:ascii="Calibri" w:eastAsia="Calibri" w:hAnsi="Calibri"/>
          <w:sz w:val="24"/>
          <w:szCs w:val="24"/>
        </w:rPr>
        <w:t>Článek 6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Sankce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V případě, že kterákoliv se smluvních stran bude v prodlení se splněním svého peněžitého závazku, je povinna uhradit úrok z prodlení ve výši 0,1 % z dlužné částky za každý den prodlení. Smluvní úrok z prodlení, který nahrazuje zákonné sankce, je splatný do 14 dnů od doručení vyúčtování.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7</w:t>
      </w:r>
    </w:p>
    <w:p w:rsidR="00E82999" w:rsidRDefault="00F848F3">
      <w:pPr>
        <w:widowControl w:val="0"/>
        <w:spacing w:after="0"/>
        <w:ind w:right="-13" w:firstLine="17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Ostatní a závěrečná ujednání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1. Smluvní strany se dohodly, že závazkový vztah upravený touto smlouvou a právní vztahy ve smlouvě výslovně neupravené a z ní vyplývající, se řídí právní úpravou obsaženou v občanském zákoníku. 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2. Veškeré změny smlouvy lze provést pouze formou písemných vzestupně číslovaných dodatků odsouhlasených oběma smluvními stranami, což platí i pro odchylky od bodů 2. 2. </w:t>
      </w:r>
      <w:r>
        <w:rPr>
          <w:rFonts w:ascii="Calibri" w:eastAsia="Calibri" w:hAnsi="Calibri"/>
          <w:sz w:val="24"/>
          <w:szCs w:val="24"/>
        </w:rPr>
        <w:lastRenderedPageBreak/>
        <w:t xml:space="preserve">a 2. 3. s výjimkou změn uvedených v bodě </w:t>
      </w:r>
      <w:proofErr w:type="gramStart"/>
      <w:r>
        <w:rPr>
          <w:rFonts w:ascii="Calibri" w:eastAsia="Calibri" w:hAnsi="Calibri"/>
          <w:sz w:val="24"/>
          <w:szCs w:val="24"/>
        </w:rPr>
        <w:t>7.3. této</w:t>
      </w:r>
      <w:proofErr w:type="gramEnd"/>
      <w:r>
        <w:rPr>
          <w:rFonts w:ascii="Calibri" w:eastAsia="Calibri" w:hAnsi="Calibri"/>
          <w:sz w:val="24"/>
          <w:szCs w:val="24"/>
        </w:rPr>
        <w:t xml:space="preserve"> smlouvy.</w:t>
      </w:r>
    </w:p>
    <w:p w:rsidR="00E82999" w:rsidRDefault="00E82999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3. V případě jakékoliv změny v označení smluvních stran, změn pověřených osob, změn statutárních orgánů, zmocněných osob a dalších údajů uvedených v záhlaví této smlouvy postačuje oznámení doporučeným dopisem podepsaným statutárním zástupcem smluvní strany. V případě, že je zastupování MUZEUM či GOVIN založeno plnou mocí nebo jiným písemným pověřením, musí být takové shora uvedené oznámení doplněno plnou mocí, odvoláním plné moci, udělením plné moci nově zmocněným zaměstnancům a doložený výpisem z obchodního rejstříku nebo jinou listinou osvědčující skutečnosti v oznámení uvedené.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4. Tato smlouva je vyhotovena ve dvou stejnopisech s platností originálu, přičemž každá ze smluvních stran obdrží jedno vyhotovení. </w:t>
      </w:r>
    </w:p>
    <w:p w:rsidR="00E82999" w:rsidRDefault="00E82999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before="120" w:after="12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5. 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GOVIN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</w:t>
      </w:r>
      <w:r w:rsidR="00C01C0F">
        <w:rPr>
          <w:rFonts w:ascii="Calibri" w:eastAsia="Calibri" w:hAnsi="Calibri"/>
          <w:sz w:val="24"/>
          <w:szCs w:val="24"/>
        </w:rPr>
        <w:t>stru smluv provede MUZEUM, které</w:t>
      </w:r>
      <w:r>
        <w:rPr>
          <w:rFonts w:ascii="Calibri" w:eastAsia="Calibri" w:hAnsi="Calibri"/>
          <w:sz w:val="24"/>
          <w:szCs w:val="24"/>
        </w:rPr>
        <w:t xml:space="preserve"> zároveň zajistí, aby informace o uveřejnění této smlouvy byla zaslána GOVIN do datové schránky ID</w:t>
      </w:r>
      <w:r>
        <w:rPr>
          <w:rFonts w:cs="Times New Roman"/>
        </w:rPr>
        <w:t xml:space="preserve"> </w:t>
      </w:r>
      <w:r>
        <w:rPr>
          <w:rFonts w:ascii="Calibri" w:eastAsia="Calibri" w:hAnsi="Calibri"/>
          <w:sz w:val="24"/>
          <w:szCs w:val="24"/>
        </w:rPr>
        <w:t>nip59</w:t>
      </w:r>
      <w:r w:rsidR="00C01C0F">
        <w:rPr>
          <w:rFonts w:ascii="Calibri" w:eastAsia="Calibri" w:hAnsi="Calibri"/>
          <w:sz w:val="24"/>
          <w:szCs w:val="24"/>
        </w:rPr>
        <w:t>e3 / na e-mail: pala@govin.org.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6. Smluvní strany prohlašují, že je jim znám celý obsah smlouvy a že tuto smlouvu uzavřely na základě své svobodné a vážné vůle. Na důkaz této sku</w:t>
      </w:r>
      <w:r w:rsidR="00C01C0F">
        <w:rPr>
          <w:rFonts w:ascii="Calibri" w:eastAsia="Calibri" w:hAnsi="Calibri"/>
          <w:sz w:val="24"/>
          <w:szCs w:val="24"/>
        </w:rPr>
        <w:t>tečnosti připojují své podpisy.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4820"/>
        </w:tabs>
        <w:spacing w:after="0"/>
        <w:ind w:right="-13"/>
        <w:rPr>
          <w:rFonts w:ascii="Calibri" w:eastAsia="Calibri" w:hAnsi="Calibri"/>
          <w:sz w:val="24"/>
          <w:szCs w:val="24"/>
        </w:rPr>
      </w:pPr>
    </w:p>
    <w:p w:rsidR="00E82999" w:rsidRPr="00855A8D" w:rsidRDefault="00F848F3">
      <w:pPr>
        <w:keepNext/>
        <w:keepLines/>
        <w:tabs>
          <w:tab w:val="left" w:pos="4820"/>
        </w:tabs>
        <w:spacing w:after="0"/>
        <w:ind w:right="-13"/>
        <w:rPr>
          <w:rFonts w:ascii="Calibri" w:eastAsia="Calibri" w:hAnsi="Calibri"/>
          <w:color w:val="auto"/>
          <w:sz w:val="24"/>
          <w:szCs w:val="24"/>
        </w:rPr>
      </w:pPr>
      <w:r w:rsidRPr="00855A8D">
        <w:rPr>
          <w:rFonts w:ascii="Calibri" w:eastAsia="Calibri" w:hAnsi="Calibri"/>
          <w:color w:val="auto"/>
          <w:sz w:val="24"/>
          <w:szCs w:val="24"/>
        </w:rPr>
        <w:t>V </w:t>
      </w:r>
      <w:r w:rsidR="00874DF2" w:rsidRPr="00855A8D">
        <w:rPr>
          <w:rFonts w:ascii="Calibri" w:eastAsia="Calibri" w:hAnsi="Calibri"/>
          <w:color w:val="auto"/>
          <w:sz w:val="24"/>
          <w:szCs w:val="24"/>
        </w:rPr>
        <w:t>Mostě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 xml:space="preserve"> dne </w:t>
      </w:r>
      <w:r w:rsidR="00874DF2" w:rsidRPr="00855A8D">
        <w:rPr>
          <w:rFonts w:ascii="Calibri" w:eastAsia="Calibri" w:hAnsi="Calibri"/>
          <w:color w:val="auto"/>
          <w:sz w:val="24"/>
          <w:szCs w:val="24"/>
        </w:rPr>
        <w:t>28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>. července 2017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ab/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ab/>
        <w:t>V </w:t>
      </w:r>
      <w:r w:rsidR="00855A8D" w:rsidRPr="00855A8D">
        <w:rPr>
          <w:rFonts w:ascii="Calibri" w:eastAsia="Calibri" w:hAnsi="Calibri"/>
          <w:color w:val="auto"/>
          <w:sz w:val="24"/>
          <w:szCs w:val="24"/>
        </w:rPr>
        <w:t>Praze dne 26.</w:t>
      </w:r>
      <w:r w:rsidRPr="00855A8D">
        <w:rPr>
          <w:rFonts w:ascii="Calibri" w:eastAsia="Calibri" w:hAnsi="Calibri"/>
          <w:color w:val="auto"/>
          <w:sz w:val="24"/>
          <w:szCs w:val="24"/>
        </w:rPr>
        <w:t xml:space="preserve"> července 2017</w:t>
      </w:r>
    </w:p>
    <w:p w:rsidR="00E82999" w:rsidRPr="00C01C0F" w:rsidRDefault="00E82999">
      <w:pPr>
        <w:keepNext/>
        <w:keepLines/>
        <w:tabs>
          <w:tab w:val="left" w:pos="4820"/>
        </w:tabs>
        <w:rPr>
          <w:rFonts w:ascii="Calibri" w:eastAsia="Calibri" w:hAnsi="Calibri"/>
          <w:color w:val="FF0000"/>
          <w:sz w:val="24"/>
          <w:szCs w:val="24"/>
        </w:rPr>
      </w:pPr>
    </w:p>
    <w:p w:rsidR="00E82999" w:rsidRDefault="00F848F3">
      <w:pPr>
        <w:keepNext/>
        <w:keepLines/>
        <w:tabs>
          <w:tab w:val="center" w:pos="2268"/>
          <w:tab w:val="left" w:pos="4820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za MUZEUM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  <w:t>za GOVIN</w:t>
      </w:r>
      <w:r>
        <w:rPr>
          <w:rFonts w:ascii="Calibri" w:eastAsia="Calibri" w:hAnsi="Calibri"/>
          <w:sz w:val="24"/>
          <w:szCs w:val="24"/>
        </w:rPr>
        <w:tab/>
      </w:r>
    </w:p>
    <w:p w:rsidR="00E82999" w:rsidRDefault="00F848F3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</w:t>
      </w: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Oblastní muzeum v Mostě, </w:t>
      </w:r>
    </w:p>
    <w:p w:rsidR="00E82999" w:rsidRDefault="00F848F3">
      <w:pPr>
        <w:spacing w:after="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příspěvková organizace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  <w:t>GOVIN, s.r.o.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 w:rsidRPr="007C2482">
        <w:rPr>
          <w:rFonts w:ascii="Calibri" w:eastAsia="Calibri" w:hAnsi="Calibri"/>
          <w:sz w:val="24"/>
          <w:szCs w:val="24"/>
          <w:highlight w:val="black"/>
        </w:rPr>
        <w:t>Mgr. Michal Soukup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 w:rsidRPr="007C2482">
        <w:rPr>
          <w:rFonts w:ascii="Calibri" w:eastAsia="Calibri" w:hAnsi="Calibri"/>
          <w:sz w:val="24"/>
          <w:szCs w:val="24"/>
          <w:highlight w:val="black"/>
        </w:rPr>
        <w:t>Mgr.</w:t>
      </w:r>
      <w:r w:rsidRPr="007C2482">
        <w:rPr>
          <w:rFonts w:ascii="Calibri" w:eastAsia="Calibri" w:hAnsi="Calibri"/>
          <w:b/>
          <w:sz w:val="24"/>
          <w:szCs w:val="24"/>
          <w:highlight w:val="black"/>
        </w:rPr>
        <w:t xml:space="preserve"> </w:t>
      </w:r>
      <w:r w:rsidRPr="007C2482">
        <w:rPr>
          <w:rFonts w:ascii="Calibri" w:eastAsia="Calibri" w:hAnsi="Calibri"/>
          <w:sz w:val="24"/>
          <w:szCs w:val="24"/>
          <w:highlight w:val="black"/>
        </w:rPr>
        <w:t>Tomáš Pala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ředitel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>jednatel</w:t>
      </w:r>
    </w:p>
    <w:sectPr w:rsidR="00E82999">
      <w:headerReference w:type="default" r:id="rId7"/>
      <w:footerReference w:type="default" r:id="rId8"/>
      <w:pgSz w:w="11905" w:h="16837"/>
      <w:pgMar w:top="1418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97" w:rsidRDefault="00555A97">
      <w:pPr>
        <w:spacing w:after="0"/>
      </w:pPr>
      <w:r>
        <w:separator/>
      </w:r>
    </w:p>
  </w:endnote>
  <w:endnote w:type="continuationSeparator" w:id="0">
    <w:p w:rsidR="00555A97" w:rsidRDefault="00555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9" w:rsidRDefault="00F848F3">
    <w:pPr>
      <w:tabs>
        <w:tab w:val="center" w:pos="4536"/>
        <w:tab w:val="right" w:pos="9072"/>
      </w:tabs>
      <w:ind w:right="-322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Stránka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</w:instrText>
    </w:r>
    <w:r>
      <w:rPr>
        <w:rFonts w:cs="Times New Roman"/>
        <w:sz w:val="20"/>
        <w:szCs w:val="20"/>
      </w:rPr>
      <w:fldChar w:fldCharType="separate"/>
    </w:r>
    <w:r w:rsidR="007C2482">
      <w:rPr>
        <w:rFonts w:cs="Times New Roman"/>
        <w:noProof/>
        <w:sz w:val="20"/>
        <w:szCs w:val="20"/>
      </w:rPr>
      <w:t>3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z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NUMPAGES</w:instrText>
    </w:r>
    <w:r>
      <w:rPr>
        <w:rFonts w:cs="Times New Roman"/>
        <w:sz w:val="20"/>
        <w:szCs w:val="20"/>
      </w:rPr>
      <w:fldChar w:fldCharType="separate"/>
    </w:r>
    <w:r w:rsidR="007C2482">
      <w:rPr>
        <w:rFonts w:cs="Times New Roman"/>
        <w:noProof/>
        <w:sz w:val="20"/>
        <w:szCs w:val="20"/>
      </w:rPr>
      <w:t>6</w:t>
    </w:r>
    <w:r>
      <w:rPr>
        <w:rFonts w:cs="Times New Roman"/>
        <w:sz w:val="20"/>
        <w:szCs w:val="20"/>
      </w:rPr>
      <w:fldChar w:fldCharType="end"/>
    </w:r>
  </w:p>
  <w:p w:rsidR="00E82999" w:rsidRDefault="00E82999">
    <w:pPr>
      <w:tabs>
        <w:tab w:val="center" w:pos="4536"/>
        <w:tab w:val="right" w:pos="9072"/>
      </w:tabs>
      <w:spacing w:after="308"/>
      <w:ind w:right="-32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97" w:rsidRDefault="00555A97">
      <w:pPr>
        <w:spacing w:after="0"/>
      </w:pPr>
      <w:r>
        <w:separator/>
      </w:r>
    </w:p>
  </w:footnote>
  <w:footnote w:type="continuationSeparator" w:id="0">
    <w:p w:rsidR="00555A97" w:rsidRDefault="00555A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9" w:rsidRDefault="00F848F3">
    <w:pPr>
      <w:tabs>
        <w:tab w:val="center" w:pos="4536"/>
        <w:tab w:val="right" w:pos="9072"/>
      </w:tabs>
      <w:spacing w:before="708"/>
      <w:jc w:val="center"/>
      <w:rPr>
        <w:rFonts w:cs="Times New Roman"/>
      </w:rPr>
    </w:pPr>
    <w:r>
      <w:rPr>
        <w:noProof/>
        <w:lang w:eastAsia="cs-CZ"/>
      </w:rPr>
      <w:drawing>
        <wp:inline distT="0" distB="0" distL="0" distR="0" wp14:anchorId="5C50E349" wp14:editId="262C5990">
          <wp:extent cx="876300" cy="7175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861"/>
                  <a:stretch>
                    <a:fillRect/>
                  </a:stretch>
                </pic:blipFill>
                <pic:spPr>
                  <a:xfrm>
                    <a:off x="0" y="0"/>
                    <a:ext cx="876300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876"/>
    <w:multiLevelType w:val="multilevel"/>
    <w:tmpl w:val="8FA2CA4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12840ED"/>
    <w:multiLevelType w:val="multilevel"/>
    <w:tmpl w:val="EF448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AD84FCE"/>
    <w:multiLevelType w:val="multilevel"/>
    <w:tmpl w:val="0DF49B4A"/>
    <w:lvl w:ilvl="0">
      <w:start w:val="1"/>
      <w:numFmt w:val="decimal"/>
      <w:lvlText w:val="%1."/>
      <w:lvlJc w:val="left"/>
      <w:pPr>
        <w:ind w:left="66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4C61328"/>
    <w:multiLevelType w:val="multilevel"/>
    <w:tmpl w:val="51E42338"/>
    <w:lvl w:ilvl="0">
      <w:start w:val="1"/>
      <w:numFmt w:val="lowerLetter"/>
      <w:lvlText w:val="%1)"/>
      <w:lvlJc w:val="left"/>
      <w:pPr>
        <w:ind w:left="0" w:firstLine="360"/>
      </w:p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4">
    <w:nsid w:val="76E04A42"/>
    <w:multiLevelType w:val="hybridMultilevel"/>
    <w:tmpl w:val="14A8C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99"/>
    <w:rsid w:val="0002042D"/>
    <w:rsid w:val="00134D7E"/>
    <w:rsid w:val="001A78DA"/>
    <w:rsid w:val="002653F5"/>
    <w:rsid w:val="003E4902"/>
    <w:rsid w:val="00555A97"/>
    <w:rsid w:val="005E14C2"/>
    <w:rsid w:val="006007CD"/>
    <w:rsid w:val="007C2482"/>
    <w:rsid w:val="00815B22"/>
    <w:rsid w:val="00855A8D"/>
    <w:rsid w:val="00874DF2"/>
    <w:rsid w:val="00881E0E"/>
    <w:rsid w:val="008F4ECA"/>
    <w:rsid w:val="00904A72"/>
    <w:rsid w:val="0090645D"/>
    <w:rsid w:val="00942F92"/>
    <w:rsid w:val="00B3330B"/>
    <w:rsid w:val="00C01C0F"/>
    <w:rsid w:val="00C22446"/>
    <w:rsid w:val="00C94BA9"/>
    <w:rsid w:val="00E54B4E"/>
    <w:rsid w:val="00E82999"/>
    <w:rsid w:val="00F25F86"/>
    <w:rsid w:val="00F36A5B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AC632-29FD-42F4-965A-CEC54DA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3AF"/>
    <w:pPr>
      <w:suppressAutoHyphens/>
    </w:pPr>
    <w:rPr>
      <w:rFonts w:cs="Calibri"/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2A5C55"/>
    <w:pPr>
      <w:keepNext/>
      <w:widowControl w:val="0"/>
      <w:suppressAutoHyphens w:val="0"/>
      <w:autoSpaceDE w:val="0"/>
      <w:autoSpaceDN w:val="0"/>
      <w:adjustRightInd w:val="0"/>
      <w:spacing w:before="240" w:after="0"/>
      <w:outlineLvl w:val="3"/>
    </w:pPr>
    <w:rPr>
      <w:rFonts w:cs="Times New Roman"/>
      <w:b/>
      <w:bCs/>
      <w:szCs w:val="28"/>
      <w:lang w:eastAsia="cs-CZ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3z0">
    <w:name w:val="WW8Num3z0"/>
    <w:rsid w:val="00B50A7A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B50A7A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B50A7A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50A7A"/>
  </w:style>
  <w:style w:type="character" w:customStyle="1" w:styleId="Standardnpsmoodstavce3">
    <w:name w:val="Standardní písmo odstavce3"/>
    <w:rsid w:val="00B50A7A"/>
  </w:style>
  <w:style w:type="character" w:customStyle="1" w:styleId="WW-Absatz-Standardschriftart">
    <w:name w:val="WW-Absatz-Standardschriftart"/>
    <w:rsid w:val="00B50A7A"/>
  </w:style>
  <w:style w:type="character" w:customStyle="1" w:styleId="Standardnpsmoodstavce2">
    <w:name w:val="Standardní písmo odstavce2"/>
    <w:rsid w:val="00B50A7A"/>
  </w:style>
  <w:style w:type="character" w:customStyle="1" w:styleId="Standardnpsmoodstavce1">
    <w:name w:val="Standardní písmo odstavce1"/>
    <w:rsid w:val="00B50A7A"/>
  </w:style>
  <w:style w:type="character" w:customStyle="1" w:styleId="ZhlavChar">
    <w:name w:val="Záhlaví Char"/>
    <w:basedOn w:val="Standardnpsmoodstavce1"/>
    <w:rsid w:val="00B50A7A"/>
  </w:style>
  <w:style w:type="character" w:customStyle="1" w:styleId="ZpatChar">
    <w:name w:val="Zápatí Char"/>
    <w:basedOn w:val="Standardnpsmoodstavce1"/>
    <w:rsid w:val="00B50A7A"/>
  </w:style>
  <w:style w:type="character" w:customStyle="1" w:styleId="shortnadpis1">
    <w:name w:val="shortnadpis1"/>
    <w:basedOn w:val="Standardnpsmoodstavce1"/>
    <w:rsid w:val="00B50A7A"/>
    <w:rPr>
      <w:b/>
      <w:bCs/>
      <w:color w:val="395186"/>
      <w:sz w:val="18"/>
      <w:szCs w:val="18"/>
    </w:rPr>
  </w:style>
  <w:style w:type="character" w:customStyle="1" w:styleId="TextbublinyChar">
    <w:name w:val="Text bubliny Char"/>
    <w:basedOn w:val="Standardnpsmoodstavce1"/>
    <w:rsid w:val="00B50A7A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B50A7A"/>
  </w:style>
  <w:style w:type="character" w:customStyle="1" w:styleId="Odrky">
    <w:name w:val="Odrážky"/>
    <w:rsid w:val="00B50A7A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B50A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B50A7A"/>
    <w:pPr>
      <w:spacing w:after="120"/>
    </w:pPr>
  </w:style>
  <w:style w:type="paragraph" w:styleId="Seznam">
    <w:name w:val="List"/>
    <w:basedOn w:val="Zkladntext"/>
    <w:rsid w:val="00B50A7A"/>
    <w:rPr>
      <w:rFonts w:cs="Tahoma"/>
    </w:rPr>
  </w:style>
  <w:style w:type="paragraph" w:customStyle="1" w:styleId="Popisek">
    <w:name w:val="Popisek"/>
    <w:basedOn w:val="Normln"/>
    <w:rsid w:val="00B50A7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50A7A"/>
    <w:pPr>
      <w:suppressLineNumbers/>
    </w:pPr>
    <w:rPr>
      <w:rFonts w:cs="Tahoma"/>
    </w:rPr>
  </w:style>
  <w:style w:type="paragraph" w:customStyle="1" w:styleId="Styl">
    <w:name w:val="Styl"/>
    <w:rsid w:val="00B50A7A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styleId="Zhlav">
    <w:name w:val="header"/>
    <w:basedOn w:val="Normln"/>
    <w:rsid w:val="00B50A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A7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50A7A"/>
    <w:pPr>
      <w:spacing w:after="0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66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F65F12"/>
    <w:pPr>
      <w:tabs>
        <w:tab w:val="left" w:pos="227"/>
      </w:tabs>
      <w:suppressAutoHyphens w:val="0"/>
      <w:spacing w:after="0" w:line="220" w:lineRule="exact"/>
      <w:jc w:val="both"/>
    </w:pPr>
    <w:rPr>
      <w:rFonts w:ascii="Book Antiqua" w:hAnsi="Book Antiqua" w:cs="Times New Roman"/>
      <w:sz w:val="18"/>
      <w:szCs w:val="20"/>
      <w:lang w:val="en-US" w:eastAsia="cs-CZ"/>
    </w:rPr>
  </w:style>
  <w:style w:type="character" w:styleId="Odkaznakoment">
    <w:name w:val="annotation reference"/>
    <w:basedOn w:val="Standardnpsmoodstavce"/>
    <w:semiHidden/>
    <w:rsid w:val="00B04BD3"/>
    <w:rPr>
      <w:sz w:val="16"/>
      <w:szCs w:val="16"/>
    </w:rPr>
  </w:style>
  <w:style w:type="paragraph" w:styleId="Textkomente">
    <w:name w:val="annotation text"/>
    <w:basedOn w:val="Normln"/>
    <w:semiHidden/>
    <w:rsid w:val="00B04BD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4BD3"/>
    <w:rPr>
      <w:b/>
      <w:bCs/>
    </w:rPr>
  </w:style>
  <w:style w:type="paragraph" w:customStyle="1" w:styleId="ColorfulList-Accent11">
    <w:name w:val="Colorful List - Accent 11"/>
    <w:basedOn w:val="Normln"/>
    <w:qFormat/>
    <w:rsid w:val="007E2790"/>
    <w:pPr>
      <w:suppressAutoHyphens w:val="0"/>
      <w:ind w:left="720"/>
      <w:contextualSpacing/>
    </w:pPr>
    <w:rPr>
      <w:rFonts w:cs="Arial"/>
      <w:bCs/>
      <w:lang w:eastAsia="en-US"/>
    </w:rPr>
  </w:style>
  <w:style w:type="character" w:customStyle="1" w:styleId="Nadpis4Char">
    <w:name w:val="Nadpis 4 Char"/>
    <w:basedOn w:val="Standardnpsmoodstavce"/>
    <w:link w:val="Nadpis4"/>
    <w:rsid w:val="002A5C55"/>
    <w:rPr>
      <w:b/>
      <w:bCs/>
      <w:sz w:val="22"/>
      <w:szCs w:val="28"/>
      <w:lang w:val="cs-CZ" w:eastAsia="cs-CZ"/>
    </w:rPr>
  </w:style>
  <w:style w:type="paragraph" w:styleId="Zkladntext3">
    <w:name w:val="Body Text 3"/>
    <w:basedOn w:val="Normln"/>
    <w:link w:val="Zkladntext3Char"/>
    <w:rsid w:val="00735094"/>
    <w:pPr>
      <w:suppressAutoHyphens w:val="0"/>
      <w:spacing w:after="120"/>
    </w:pPr>
    <w:rPr>
      <w:rFonts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35094"/>
    <w:rPr>
      <w:sz w:val="16"/>
      <w:szCs w:val="16"/>
      <w:lang w:val="cs-CZ" w:eastAsia="cs-CZ"/>
    </w:rPr>
  </w:style>
  <w:style w:type="paragraph" w:styleId="Zkladntextodsazen">
    <w:name w:val="Body Text Indent"/>
    <w:basedOn w:val="Normln"/>
    <w:link w:val="ZkladntextodsazenChar"/>
    <w:rsid w:val="007350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35094"/>
    <w:rPr>
      <w:rFonts w:cs="Calibri"/>
      <w:sz w:val="22"/>
      <w:szCs w:val="22"/>
      <w:lang w:val="cs-CZ" w:eastAsia="ar-SA"/>
    </w:rPr>
  </w:style>
  <w:style w:type="character" w:styleId="Hypertextovodkaz">
    <w:name w:val="Hyperlink"/>
    <w:basedOn w:val="Standardnpsmoodstavce"/>
    <w:rsid w:val="001105B0"/>
    <w:rPr>
      <w:color w:val="0000FF"/>
      <w:u w:val="single"/>
    </w:rPr>
  </w:style>
  <w:style w:type="character" w:customStyle="1" w:styleId="platne">
    <w:name w:val="platne"/>
    <w:basedOn w:val="Standardnpsmoodstavce"/>
    <w:rsid w:val="0040560B"/>
  </w:style>
  <w:style w:type="character" w:customStyle="1" w:styleId="apple-converted-space">
    <w:name w:val="apple-converted-space"/>
    <w:basedOn w:val="Standardnpsmoodstavce"/>
    <w:rsid w:val="009C7C7B"/>
  </w:style>
  <w:style w:type="character" w:styleId="Siln">
    <w:name w:val="Strong"/>
    <w:basedOn w:val="Standardnpsmoodstavce"/>
    <w:uiPriority w:val="22"/>
    <w:qFormat/>
    <w:rsid w:val="009C7C7B"/>
    <w:rPr>
      <w:b/>
      <w:bCs/>
    </w:rPr>
  </w:style>
  <w:style w:type="character" w:customStyle="1" w:styleId="value">
    <w:name w:val="value"/>
    <w:basedOn w:val="Standardnpsmoodstavce"/>
    <w:rsid w:val="009C7C7B"/>
  </w:style>
  <w:style w:type="paragraph" w:styleId="Normlnweb">
    <w:name w:val="Normal (Web)"/>
    <w:basedOn w:val="Normln"/>
    <w:uiPriority w:val="99"/>
    <w:unhideWhenUsed/>
    <w:rsid w:val="00455D3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330"/>
    <w:pPr>
      <w:ind w:left="720"/>
      <w:contextualSpacing/>
    </w:pPr>
  </w:style>
  <w:style w:type="paragraph" w:styleId="Revize">
    <w:name w:val="Revision"/>
    <w:hidden/>
    <w:uiPriority w:val="99"/>
    <w:semiHidden/>
    <w:rsid w:val="00006652"/>
    <w:rPr>
      <w:rFonts w:cs="Calibri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815B22"/>
    <w:pPr>
      <w:suppressAutoHyphens/>
      <w:spacing w:after="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1903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Spurná</cp:lastModifiedBy>
  <cp:revision>3</cp:revision>
  <dcterms:created xsi:type="dcterms:W3CDTF">2017-07-31T04:31:00Z</dcterms:created>
  <dcterms:modified xsi:type="dcterms:W3CDTF">2017-07-31T05:25:00Z</dcterms:modified>
</cp:coreProperties>
</file>