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D22C0" w14:textId="5E541B57" w:rsidR="0027745C" w:rsidRDefault="00704C1B" w:rsidP="0027745C">
      <w:pPr>
        <w:spacing w:after="0" w:line="259" w:lineRule="auto"/>
        <w:ind w:right="5"/>
        <w:jc w:val="center"/>
        <w:rPr>
          <w:rFonts w:ascii="Arial" w:hAnsi="Arial" w:cs="Arial"/>
          <w:b/>
          <w:sz w:val="28"/>
        </w:rPr>
      </w:pPr>
      <w:r w:rsidRPr="00722C2A">
        <w:rPr>
          <w:rFonts w:ascii="Arial" w:hAnsi="Arial" w:cs="Arial"/>
          <w:b/>
          <w:sz w:val="28"/>
        </w:rPr>
        <w:t xml:space="preserve">Smlouva </w:t>
      </w:r>
      <w:r w:rsidR="00DE7E0E" w:rsidRPr="00722C2A">
        <w:rPr>
          <w:rFonts w:ascii="Arial" w:hAnsi="Arial" w:cs="Arial"/>
          <w:b/>
          <w:sz w:val="28"/>
        </w:rPr>
        <w:t xml:space="preserve">na </w:t>
      </w:r>
      <w:r w:rsidR="00F0155F" w:rsidRPr="00722C2A">
        <w:rPr>
          <w:rFonts w:ascii="Arial" w:hAnsi="Arial" w:cs="Arial"/>
          <w:b/>
          <w:sz w:val="28"/>
        </w:rPr>
        <w:t xml:space="preserve">provedení </w:t>
      </w:r>
      <w:r w:rsidR="00963985">
        <w:rPr>
          <w:rFonts w:ascii="Arial" w:hAnsi="Arial" w:cs="Arial"/>
          <w:b/>
          <w:sz w:val="28"/>
        </w:rPr>
        <w:t>opravy kamerového serveru</w:t>
      </w:r>
      <w:r w:rsidR="00F0155F" w:rsidRPr="00722C2A">
        <w:rPr>
          <w:rFonts w:ascii="Arial" w:hAnsi="Arial" w:cs="Arial"/>
          <w:b/>
          <w:sz w:val="28"/>
        </w:rPr>
        <w:t xml:space="preserve"> Městského kamerového dohlížecího systému v rámci servisní smlouvy SD/2021/0358</w:t>
      </w:r>
    </w:p>
    <w:p w14:paraId="3D222C11" w14:textId="77777777" w:rsidR="00722C2A" w:rsidRPr="00722C2A" w:rsidRDefault="00722C2A" w:rsidP="0027745C">
      <w:pPr>
        <w:spacing w:after="0" w:line="259" w:lineRule="auto"/>
        <w:ind w:right="5"/>
        <w:jc w:val="center"/>
        <w:rPr>
          <w:rFonts w:ascii="Arial" w:hAnsi="Arial" w:cs="Arial"/>
          <w:b/>
          <w:sz w:val="28"/>
        </w:rPr>
      </w:pPr>
    </w:p>
    <w:p w14:paraId="4CEC8407" w14:textId="5CDA3B2D" w:rsidR="005D51A3" w:rsidRPr="00722C2A" w:rsidRDefault="00AD35EA" w:rsidP="0027745C">
      <w:pPr>
        <w:spacing w:after="0" w:line="259" w:lineRule="auto"/>
        <w:ind w:right="5"/>
        <w:jc w:val="center"/>
        <w:rPr>
          <w:rFonts w:ascii="Arial" w:hAnsi="Arial" w:cs="Arial"/>
        </w:rPr>
      </w:pPr>
      <w:r w:rsidRPr="00722C2A">
        <w:rPr>
          <w:rFonts w:ascii="Arial" w:hAnsi="Arial" w:cs="Arial"/>
        </w:rPr>
        <w:t>číslo smlouvy objednatele: SD/202</w:t>
      </w:r>
      <w:r w:rsidR="00704C1B" w:rsidRPr="00722C2A">
        <w:rPr>
          <w:rFonts w:ascii="Arial" w:hAnsi="Arial" w:cs="Arial"/>
        </w:rPr>
        <w:t>4</w:t>
      </w:r>
      <w:r w:rsidRPr="00722C2A">
        <w:rPr>
          <w:rFonts w:ascii="Arial" w:hAnsi="Arial" w:cs="Arial"/>
        </w:rPr>
        <w:t>/</w:t>
      </w:r>
      <w:r w:rsidR="00F0155F" w:rsidRPr="00722C2A">
        <w:rPr>
          <w:rFonts w:ascii="Arial" w:hAnsi="Arial" w:cs="Arial"/>
        </w:rPr>
        <w:t>1237</w:t>
      </w:r>
      <w:r w:rsidRPr="00722C2A">
        <w:rPr>
          <w:rFonts w:ascii="Arial" w:hAnsi="Arial" w:cs="Arial"/>
          <w:b/>
        </w:rPr>
        <w:t xml:space="preserve"> </w:t>
      </w:r>
    </w:p>
    <w:p w14:paraId="2891E82C" w14:textId="77777777" w:rsidR="005D51A3" w:rsidRDefault="00AD35EA" w:rsidP="0027745C">
      <w:pPr>
        <w:spacing w:after="0" w:line="259" w:lineRule="auto"/>
        <w:ind w:left="0" w:firstLine="0"/>
        <w:jc w:val="left"/>
      </w:pPr>
      <w:r>
        <w:rPr>
          <w:b/>
          <w:sz w:val="28"/>
        </w:rPr>
        <w:t xml:space="preserve"> </w:t>
      </w:r>
    </w:p>
    <w:p w14:paraId="00849B7B" w14:textId="77777777" w:rsidR="005D51A3" w:rsidRPr="00963985" w:rsidRDefault="00AD35EA">
      <w:pPr>
        <w:spacing w:after="159" w:line="259" w:lineRule="auto"/>
        <w:ind w:left="-5"/>
        <w:jc w:val="left"/>
        <w:rPr>
          <w:rFonts w:ascii="Arial" w:hAnsi="Arial" w:cs="Arial"/>
        </w:rPr>
      </w:pPr>
      <w:r w:rsidRPr="00963985">
        <w:rPr>
          <w:rFonts w:ascii="Arial" w:hAnsi="Arial" w:cs="Arial"/>
          <w:b/>
        </w:rPr>
        <w:t xml:space="preserve">smluvní strany: </w:t>
      </w:r>
    </w:p>
    <w:p w14:paraId="403D525A" w14:textId="77777777" w:rsidR="00F0155F" w:rsidRPr="001916F0" w:rsidRDefault="00F0155F" w:rsidP="00F0155F">
      <w:pPr>
        <w:widowControl w:val="0"/>
        <w:ind w:right="-142"/>
        <w:rPr>
          <w:rFonts w:ascii="Arial" w:hAnsi="Arial" w:cs="Arial"/>
          <w:b/>
          <w:iCs/>
          <w:snapToGrid w:val="0"/>
          <w:sz w:val="22"/>
        </w:rPr>
      </w:pPr>
      <w:r w:rsidRPr="001916F0">
        <w:rPr>
          <w:rFonts w:ascii="Arial" w:hAnsi="Arial" w:cs="Arial"/>
          <w:b/>
          <w:iCs/>
          <w:snapToGrid w:val="0"/>
          <w:sz w:val="22"/>
        </w:rPr>
        <w:t>Statutární město Jablonec nad Nisou</w:t>
      </w:r>
    </w:p>
    <w:p w14:paraId="0B8D1812" w14:textId="77777777" w:rsidR="00F0155F" w:rsidRPr="001916F0" w:rsidRDefault="00F0155F" w:rsidP="00F0155F">
      <w:pPr>
        <w:widowControl w:val="0"/>
        <w:ind w:right="-142"/>
        <w:rPr>
          <w:rFonts w:ascii="Arial" w:hAnsi="Arial" w:cs="Arial"/>
          <w:iCs/>
          <w:snapToGrid w:val="0"/>
          <w:sz w:val="22"/>
        </w:rPr>
      </w:pPr>
      <w:r w:rsidRPr="001916F0">
        <w:rPr>
          <w:rFonts w:ascii="Arial" w:hAnsi="Arial" w:cs="Arial"/>
          <w:iCs/>
          <w:snapToGrid w:val="0"/>
          <w:sz w:val="22"/>
        </w:rPr>
        <w:t>se sídlem Mírové náměstí 3100/19, 466 01 Jablonec nad Nisou</w:t>
      </w:r>
    </w:p>
    <w:p w14:paraId="3EE1280E" w14:textId="030CDED4" w:rsidR="00F0155F" w:rsidRPr="007C4616" w:rsidRDefault="00F0155F" w:rsidP="00F0155F">
      <w:pPr>
        <w:widowControl w:val="0"/>
        <w:ind w:right="-142"/>
        <w:rPr>
          <w:rFonts w:ascii="Arial" w:hAnsi="Arial" w:cs="Arial"/>
          <w:iCs/>
          <w:snapToGrid w:val="0"/>
          <w:sz w:val="22"/>
        </w:rPr>
      </w:pPr>
      <w:r>
        <w:rPr>
          <w:rFonts w:ascii="Arial" w:hAnsi="Arial" w:cs="Arial"/>
          <w:iCs/>
          <w:snapToGrid w:val="0"/>
          <w:sz w:val="22"/>
        </w:rPr>
        <w:t>zastoupeno</w:t>
      </w:r>
      <w:r w:rsidRPr="007C4616">
        <w:rPr>
          <w:rFonts w:ascii="Arial" w:hAnsi="Arial" w:cs="Arial"/>
          <w:iCs/>
          <w:snapToGrid w:val="0"/>
          <w:sz w:val="22"/>
        </w:rPr>
        <w:t xml:space="preserve">: </w:t>
      </w:r>
      <w:r>
        <w:rPr>
          <w:rFonts w:ascii="Arial" w:hAnsi="Arial" w:cs="Arial"/>
          <w:iCs/>
          <w:snapToGrid w:val="0"/>
          <w:sz w:val="22"/>
        </w:rPr>
        <w:t>Ing. Milošem Velem, primátorem města</w:t>
      </w:r>
    </w:p>
    <w:p w14:paraId="5ECA7FCB" w14:textId="77777777" w:rsidR="00F0155F" w:rsidRPr="007C4616" w:rsidRDefault="00F0155F" w:rsidP="00F0155F">
      <w:pPr>
        <w:widowControl w:val="0"/>
        <w:tabs>
          <w:tab w:val="left" w:pos="1701"/>
        </w:tabs>
        <w:ind w:right="-142"/>
        <w:rPr>
          <w:rFonts w:ascii="Arial" w:hAnsi="Arial" w:cs="Arial"/>
          <w:iCs/>
          <w:snapToGrid w:val="0"/>
          <w:sz w:val="22"/>
        </w:rPr>
      </w:pPr>
      <w:r w:rsidRPr="007C4616">
        <w:rPr>
          <w:rFonts w:ascii="Arial" w:hAnsi="Arial" w:cs="Arial"/>
          <w:iCs/>
          <w:snapToGrid w:val="0"/>
          <w:sz w:val="22"/>
        </w:rPr>
        <w:t>IČ:</w:t>
      </w:r>
      <w:r w:rsidRPr="007C4616">
        <w:rPr>
          <w:rFonts w:ascii="Arial" w:hAnsi="Arial" w:cs="Arial"/>
          <w:iCs/>
          <w:snapToGrid w:val="0"/>
          <w:sz w:val="22"/>
        </w:rPr>
        <w:tab/>
        <w:t>00262340</w:t>
      </w:r>
    </w:p>
    <w:p w14:paraId="19957F5E" w14:textId="77777777" w:rsidR="00F0155F" w:rsidRPr="007C4616" w:rsidRDefault="00F0155F" w:rsidP="00F0155F">
      <w:pPr>
        <w:widowControl w:val="0"/>
        <w:tabs>
          <w:tab w:val="left" w:pos="1701"/>
        </w:tabs>
        <w:ind w:right="-142"/>
        <w:rPr>
          <w:rFonts w:ascii="Arial" w:hAnsi="Arial" w:cs="Arial"/>
          <w:iCs/>
          <w:snapToGrid w:val="0"/>
          <w:sz w:val="22"/>
        </w:rPr>
      </w:pPr>
      <w:r w:rsidRPr="007C4616">
        <w:rPr>
          <w:rFonts w:ascii="Arial" w:hAnsi="Arial" w:cs="Arial"/>
          <w:iCs/>
          <w:snapToGrid w:val="0"/>
          <w:sz w:val="22"/>
        </w:rPr>
        <w:t>DIČ:</w:t>
      </w:r>
      <w:r w:rsidRPr="007C4616">
        <w:rPr>
          <w:rFonts w:ascii="Arial" w:hAnsi="Arial" w:cs="Arial"/>
          <w:iCs/>
          <w:snapToGrid w:val="0"/>
          <w:sz w:val="22"/>
        </w:rPr>
        <w:tab/>
        <w:t>CZ00262340</w:t>
      </w:r>
    </w:p>
    <w:p w14:paraId="1743ECDA" w14:textId="77777777" w:rsidR="00F0155F" w:rsidRPr="00A838BE" w:rsidRDefault="00F0155F" w:rsidP="00F0155F">
      <w:pPr>
        <w:widowControl w:val="0"/>
        <w:tabs>
          <w:tab w:val="left" w:pos="1701"/>
        </w:tabs>
        <w:ind w:right="-142"/>
        <w:rPr>
          <w:rFonts w:ascii="Arial" w:hAnsi="Arial" w:cs="Arial"/>
          <w:iCs/>
          <w:snapToGrid w:val="0"/>
          <w:sz w:val="22"/>
        </w:rPr>
      </w:pPr>
      <w:r w:rsidRPr="007C4616">
        <w:rPr>
          <w:rFonts w:ascii="Arial" w:hAnsi="Arial" w:cs="Arial"/>
          <w:iCs/>
          <w:snapToGrid w:val="0"/>
          <w:sz w:val="22"/>
        </w:rPr>
        <w:t>bank. spojení:</w:t>
      </w:r>
      <w:r w:rsidRPr="007C4616">
        <w:rPr>
          <w:rFonts w:ascii="Arial" w:hAnsi="Arial" w:cs="Arial"/>
          <w:iCs/>
          <w:snapToGrid w:val="0"/>
          <w:sz w:val="22"/>
        </w:rPr>
        <w:tab/>
      </w:r>
      <w:r w:rsidRPr="00A838BE">
        <w:rPr>
          <w:rFonts w:ascii="Arial" w:hAnsi="Arial" w:cs="Arial"/>
          <w:iCs/>
          <w:snapToGrid w:val="0"/>
          <w:sz w:val="22"/>
        </w:rPr>
        <w:t>Komerční banka Jablonec nad Nisou</w:t>
      </w:r>
    </w:p>
    <w:p w14:paraId="23E22769" w14:textId="77777777" w:rsidR="00F0155F" w:rsidRDefault="00F0155F" w:rsidP="00F0155F">
      <w:pPr>
        <w:widowControl w:val="0"/>
        <w:tabs>
          <w:tab w:val="left" w:pos="1701"/>
        </w:tabs>
        <w:ind w:right="-142"/>
        <w:rPr>
          <w:rFonts w:ascii="Arial" w:hAnsi="Arial" w:cs="Arial"/>
          <w:iCs/>
          <w:snapToGrid w:val="0"/>
          <w:sz w:val="22"/>
        </w:rPr>
      </w:pPr>
      <w:r w:rsidRPr="00A838BE">
        <w:rPr>
          <w:rFonts w:ascii="Arial" w:hAnsi="Arial" w:cs="Arial"/>
          <w:iCs/>
          <w:snapToGrid w:val="0"/>
          <w:sz w:val="22"/>
        </w:rPr>
        <w:t>číslo účtu:</w:t>
      </w:r>
      <w:r w:rsidRPr="00A838BE">
        <w:rPr>
          <w:rFonts w:ascii="Arial" w:hAnsi="Arial" w:cs="Arial"/>
          <w:iCs/>
          <w:snapToGrid w:val="0"/>
          <w:sz w:val="22"/>
        </w:rPr>
        <w:tab/>
        <w:t>121-451/0100</w:t>
      </w:r>
    </w:p>
    <w:p w14:paraId="724FA82D" w14:textId="77777777" w:rsidR="00722C2A" w:rsidRPr="001916F0" w:rsidRDefault="00722C2A" w:rsidP="00F0155F">
      <w:pPr>
        <w:widowControl w:val="0"/>
        <w:tabs>
          <w:tab w:val="left" w:pos="1701"/>
        </w:tabs>
        <w:ind w:right="-142"/>
        <w:rPr>
          <w:rFonts w:ascii="Arial" w:hAnsi="Arial" w:cs="Arial"/>
          <w:iCs/>
          <w:snapToGrid w:val="0"/>
          <w:sz w:val="22"/>
        </w:rPr>
      </w:pPr>
    </w:p>
    <w:p w14:paraId="683B1D56" w14:textId="5FA8AF2F" w:rsidR="005D51A3" w:rsidRPr="00722C2A" w:rsidRDefault="00722C2A" w:rsidP="00722C2A">
      <w:pPr>
        <w:widowControl w:val="0"/>
        <w:ind w:right="-142"/>
        <w:rPr>
          <w:rFonts w:ascii="Arial" w:hAnsi="Arial" w:cs="Arial"/>
          <w:snapToGrid w:val="0"/>
          <w:sz w:val="22"/>
        </w:rPr>
      </w:pPr>
      <w:r w:rsidRPr="00892A51">
        <w:rPr>
          <w:rFonts w:ascii="Arial" w:hAnsi="Arial" w:cs="Arial"/>
          <w:snapToGrid w:val="0"/>
          <w:sz w:val="22"/>
        </w:rPr>
        <w:t>(dále jen „</w:t>
      </w:r>
      <w:r w:rsidRPr="00892A51">
        <w:rPr>
          <w:rFonts w:ascii="Arial" w:hAnsi="Arial" w:cs="Arial"/>
          <w:b/>
          <w:snapToGrid w:val="0"/>
          <w:sz w:val="22"/>
        </w:rPr>
        <w:t>objednatel</w:t>
      </w:r>
      <w:r w:rsidRPr="00892A51">
        <w:rPr>
          <w:rFonts w:ascii="Arial" w:hAnsi="Arial" w:cs="Arial"/>
          <w:snapToGrid w:val="0"/>
          <w:sz w:val="22"/>
        </w:rPr>
        <w:t>“)</w:t>
      </w:r>
    </w:p>
    <w:p w14:paraId="66FC1AC0" w14:textId="463223B5" w:rsidR="005D51A3" w:rsidRDefault="00AD35EA" w:rsidP="00704C1B">
      <w:pPr>
        <w:spacing w:after="162" w:line="258" w:lineRule="auto"/>
        <w:ind w:left="-5"/>
        <w:jc w:val="left"/>
      </w:pPr>
      <w:r>
        <w:t xml:space="preserve">a </w:t>
      </w:r>
    </w:p>
    <w:p w14:paraId="729F37D3" w14:textId="612D87CC" w:rsidR="00722C2A" w:rsidRPr="00892A51" w:rsidRDefault="00F0155F" w:rsidP="00722C2A">
      <w:pPr>
        <w:widowControl w:val="0"/>
        <w:ind w:right="-142"/>
        <w:rPr>
          <w:rFonts w:ascii="Arial" w:hAnsi="Arial" w:cs="Arial"/>
          <w:b/>
          <w:snapToGrid w:val="0"/>
          <w:sz w:val="22"/>
        </w:rPr>
      </w:pPr>
      <w:r w:rsidRPr="00892A51">
        <w:rPr>
          <w:rFonts w:ascii="Arial" w:hAnsi="Arial" w:cs="Arial"/>
          <w:b/>
          <w:snapToGrid w:val="0"/>
          <w:sz w:val="22"/>
        </w:rPr>
        <w:t>TELMO a.s.,</w:t>
      </w:r>
    </w:p>
    <w:p w14:paraId="358CE77B" w14:textId="77777777" w:rsidR="00F0155F" w:rsidRPr="00892A51" w:rsidRDefault="00F0155F" w:rsidP="00F0155F">
      <w:pPr>
        <w:widowControl w:val="0"/>
        <w:ind w:right="-142"/>
        <w:rPr>
          <w:rFonts w:ascii="Arial" w:hAnsi="Arial" w:cs="Arial"/>
          <w:snapToGrid w:val="0"/>
          <w:sz w:val="22"/>
        </w:rPr>
      </w:pPr>
      <w:r w:rsidRPr="00892A51">
        <w:rPr>
          <w:rFonts w:ascii="Arial" w:hAnsi="Arial" w:cs="Arial"/>
          <w:snapToGrid w:val="0"/>
          <w:sz w:val="22"/>
        </w:rPr>
        <w:t>se sídlem Štěrboholská 560/73, Hostivař, 102 00 Praha 10,</w:t>
      </w:r>
    </w:p>
    <w:p w14:paraId="79991C11" w14:textId="77777777" w:rsidR="00F0155F" w:rsidRPr="00892A51" w:rsidRDefault="00F0155F" w:rsidP="00F0155F">
      <w:pPr>
        <w:widowControl w:val="0"/>
        <w:ind w:right="-142"/>
        <w:rPr>
          <w:rFonts w:ascii="Arial" w:hAnsi="Arial" w:cs="Arial"/>
          <w:snapToGrid w:val="0"/>
          <w:sz w:val="22"/>
        </w:rPr>
      </w:pPr>
      <w:r w:rsidRPr="00892A51">
        <w:rPr>
          <w:rFonts w:ascii="Arial" w:hAnsi="Arial" w:cs="Arial"/>
          <w:snapToGrid w:val="0"/>
          <w:sz w:val="22"/>
        </w:rPr>
        <w:t>zapsaná v obchodním rejstříku, vedeném Městským soudem v Praze, oddíl B, vložka 20073,</w:t>
      </w:r>
    </w:p>
    <w:p w14:paraId="01D6B5D6" w14:textId="4FC26591" w:rsidR="00F0155F" w:rsidRPr="00892A51" w:rsidRDefault="00F0155F" w:rsidP="00F0155F">
      <w:pPr>
        <w:widowControl w:val="0"/>
        <w:ind w:right="-142"/>
        <w:rPr>
          <w:rFonts w:ascii="Arial" w:hAnsi="Arial" w:cs="Arial"/>
          <w:snapToGrid w:val="0"/>
          <w:sz w:val="22"/>
        </w:rPr>
      </w:pPr>
      <w:bookmarkStart w:id="0" w:name="_Hlk71803133"/>
      <w:r w:rsidRPr="00892A51">
        <w:rPr>
          <w:rFonts w:ascii="Arial" w:hAnsi="Arial" w:cs="Arial"/>
          <w:snapToGrid w:val="0"/>
          <w:sz w:val="22"/>
        </w:rPr>
        <w:t xml:space="preserve">zastoupená na základě pověření </w:t>
      </w:r>
      <w:r w:rsidR="0036245E">
        <w:rPr>
          <w:rFonts w:ascii="Arial" w:hAnsi="Arial" w:cs="Arial"/>
          <w:snapToGrid w:val="0"/>
          <w:sz w:val="22"/>
        </w:rPr>
        <w:t>Davidem Valachem, generálním ředitelem</w:t>
      </w:r>
    </w:p>
    <w:p w14:paraId="57749B86" w14:textId="2ACA23F5" w:rsidR="00722C2A" w:rsidRPr="00892A51" w:rsidRDefault="00F0155F" w:rsidP="00722C2A">
      <w:pPr>
        <w:widowControl w:val="0"/>
        <w:tabs>
          <w:tab w:val="left" w:pos="1701"/>
        </w:tabs>
        <w:ind w:right="-142"/>
        <w:rPr>
          <w:rFonts w:ascii="Arial" w:hAnsi="Arial" w:cs="Arial"/>
          <w:snapToGrid w:val="0"/>
          <w:sz w:val="22"/>
        </w:rPr>
      </w:pPr>
      <w:bookmarkStart w:id="1" w:name="_Hlk490811220"/>
      <w:bookmarkEnd w:id="0"/>
      <w:r w:rsidRPr="00892A51">
        <w:rPr>
          <w:rFonts w:ascii="Arial" w:hAnsi="Arial" w:cs="Arial"/>
          <w:snapToGrid w:val="0"/>
          <w:sz w:val="22"/>
        </w:rPr>
        <w:t>IČ:</w:t>
      </w:r>
      <w:r w:rsidRPr="00892A51">
        <w:rPr>
          <w:rFonts w:ascii="Arial" w:hAnsi="Arial" w:cs="Arial"/>
          <w:snapToGrid w:val="0"/>
          <w:sz w:val="22"/>
        </w:rPr>
        <w:tab/>
        <w:t>473 07</w:t>
      </w:r>
      <w:r w:rsidR="00722C2A">
        <w:rPr>
          <w:rFonts w:ascii="Arial" w:hAnsi="Arial" w:cs="Arial"/>
          <w:snapToGrid w:val="0"/>
          <w:sz w:val="22"/>
        </w:rPr>
        <w:t> </w:t>
      </w:r>
      <w:r w:rsidRPr="00892A51">
        <w:rPr>
          <w:rFonts w:ascii="Arial" w:hAnsi="Arial" w:cs="Arial"/>
          <w:snapToGrid w:val="0"/>
          <w:sz w:val="22"/>
        </w:rPr>
        <w:t>781</w:t>
      </w:r>
    </w:p>
    <w:p w14:paraId="1D92BDA0" w14:textId="77777777" w:rsidR="00F0155F" w:rsidRPr="00892A51" w:rsidRDefault="00F0155F" w:rsidP="00F0155F">
      <w:pPr>
        <w:widowControl w:val="0"/>
        <w:tabs>
          <w:tab w:val="left" w:pos="1701"/>
        </w:tabs>
        <w:ind w:right="-142"/>
        <w:rPr>
          <w:rFonts w:ascii="Arial" w:hAnsi="Arial" w:cs="Arial"/>
          <w:snapToGrid w:val="0"/>
          <w:sz w:val="22"/>
        </w:rPr>
      </w:pPr>
      <w:r w:rsidRPr="00892A51">
        <w:rPr>
          <w:rFonts w:ascii="Arial" w:hAnsi="Arial" w:cs="Arial"/>
          <w:snapToGrid w:val="0"/>
          <w:sz w:val="22"/>
        </w:rPr>
        <w:t>DIČ:</w:t>
      </w:r>
      <w:r w:rsidRPr="00892A51">
        <w:rPr>
          <w:rFonts w:ascii="Arial" w:hAnsi="Arial" w:cs="Arial"/>
          <w:snapToGrid w:val="0"/>
          <w:sz w:val="22"/>
        </w:rPr>
        <w:tab/>
        <w:t>CZ47307781</w:t>
      </w:r>
    </w:p>
    <w:p w14:paraId="2181777F" w14:textId="77777777" w:rsidR="00F0155F" w:rsidRDefault="00F0155F" w:rsidP="00F0155F">
      <w:pPr>
        <w:widowControl w:val="0"/>
        <w:tabs>
          <w:tab w:val="left" w:pos="1701"/>
        </w:tabs>
        <w:ind w:right="-142"/>
        <w:rPr>
          <w:rFonts w:ascii="Arial" w:hAnsi="Arial" w:cs="Arial"/>
          <w:snapToGrid w:val="0"/>
          <w:sz w:val="22"/>
        </w:rPr>
      </w:pPr>
      <w:r w:rsidRPr="00892A51">
        <w:rPr>
          <w:rFonts w:ascii="Arial" w:hAnsi="Arial" w:cs="Arial"/>
          <w:snapToGrid w:val="0"/>
          <w:sz w:val="22"/>
        </w:rPr>
        <w:t>bank. spojení:</w:t>
      </w:r>
      <w:r>
        <w:rPr>
          <w:rFonts w:ascii="Arial" w:hAnsi="Arial" w:cs="Arial"/>
          <w:snapToGrid w:val="0"/>
          <w:sz w:val="22"/>
        </w:rPr>
        <w:tab/>
      </w:r>
      <w:proofErr w:type="spellStart"/>
      <w:r>
        <w:rPr>
          <w:rFonts w:ascii="Arial" w:hAnsi="Arial" w:cs="Arial"/>
          <w:snapToGrid w:val="0"/>
          <w:sz w:val="22"/>
        </w:rPr>
        <w:t>UniCredit</w:t>
      </w:r>
      <w:proofErr w:type="spellEnd"/>
      <w:r>
        <w:rPr>
          <w:rFonts w:ascii="Arial" w:hAnsi="Arial" w:cs="Arial"/>
          <w:snapToGrid w:val="0"/>
          <w:sz w:val="22"/>
        </w:rPr>
        <w:t xml:space="preserve"> Bank Czech Republic and Slovakia a.s., Liberec</w:t>
      </w:r>
      <w:r w:rsidRPr="00892A51">
        <w:rPr>
          <w:rFonts w:ascii="Arial" w:hAnsi="Arial" w:cs="Arial"/>
          <w:snapToGrid w:val="0"/>
          <w:sz w:val="22"/>
        </w:rPr>
        <w:tab/>
      </w:r>
    </w:p>
    <w:p w14:paraId="7ED20AD7" w14:textId="77777777" w:rsidR="00F0155F" w:rsidRDefault="00F0155F" w:rsidP="00F0155F">
      <w:pPr>
        <w:widowControl w:val="0"/>
        <w:tabs>
          <w:tab w:val="left" w:pos="1701"/>
        </w:tabs>
        <w:ind w:right="-142"/>
        <w:rPr>
          <w:rFonts w:ascii="Arial" w:hAnsi="Arial" w:cs="Arial"/>
          <w:snapToGrid w:val="0"/>
          <w:sz w:val="22"/>
        </w:rPr>
      </w:pPr>
      <w:r w:rsidRPr="00892A51">
        <w:rPr>
          <w:rFonts w:ascii="Arial" w:hAnsi="Arial" w:cs="Arial"/>
          <w:snapToGrid w:val="0"/>
          <w:sz w:val="22"/>
        </w:rPr>
        <w:t>číslo účtu:</w:t>
      </w:r>
      <w:r w:rsidRPr="00892A51">
        <w:rPr>
          <w:rFonts w:ascii="Arial" w:hAnsi="Arial" w:cs="Arial"/>
          <w:snapToGrid w:val="0"/>
          <w:sz w:val="22"/>
        </w:rPr>
        <w:tab/>
      </w:r>
      <w:r>
        <w:rPr>
          <w:rFonts w:ascii="Arial" w:hAnsi="Arial" w:cs="Arial"/>
          <w:snapToGrid w:val="0"/>
          <w:sz w:val="22"/>
        </w:rPr>
        <w:t>2114166825/2700</w:t>
      </w:r>
    </w:p>
    <w:p w14:paraId="52CEEB20" w14:textId="77777777" w:rsidR="00722C2A" w:rsidRPr="00892A51" w:rsidRDefault="00722C2A" w:rsidP="00F0155F">
      <w:pPr>
        <w:widowControl w:val="0"/>
        <w:tabs>
          <w:tab w:val="left" w:pos="1701"/>
        </w:tabs>
        <w:ind w:right="-142"/>
        <w:rPr>
          <w:rFonts w:ascii="Arial" w:hAnsi="Arial" w:cs="Arial"/>
          <w:snapToGrid w:val="0"/>
          <w:sz w:val="22"/>
        </w:rPr>
      </w:pPr>
    </w:p>
    <w:bookmarkEnd w:id="1"/>
    <w:p w14:paraId="496E5764" w14:textId="77777777" w:rsidR="00722C2A" w:rsidRPr="00892A51" w:rsidRDefault="00722C2A" w:rsidP="00722C2A">
      <w:pPr>
        <w:widowControl w:val="0"/>
        <w:ind w:right="-142"/>
        <w:rPr>
          <w:rFonts w:ascii="Arial" w:hAnsi="Arial" w:cs="Arial"/>
          <w:snapToGrid w:val="0"/>
          <w:sz w:val="22"/>
        </w:rPr>
      </w:pPr>
      <w:r w:rsidRPr="00892A51">
        <w:rPr>
          <w:rFonts w:ascii="Arial" w:hAnsi="Arial" w:cs="Arial"/>
          <w:snapToGrid w:val="0"/>
          <w:sz w:val="22"/>
        </w:rPr>
        <w:t>(dále jen „</w:t>
      </w:r>
      <w:r w:rsidRPr="00892A51">
        <w:rPr>
          <w:rFonts w:ascii="Arial" w:hAnsi="Arial" w:cs="Arial"/>
          <w:b/>
          <w:snapToGrid w:val="0"/>
          <w:sz w:val="22"/>
        </w:rPr>
        <w:t>zhotovitel</w:t>
      </w:r>
      <w:r w:rsidRPr="00892A51">
        <w:rPr>
          <w:rFonts w:ascii="Arial" w:hAnsi="Arial" w:cs="Arial"/>
          <w:snapToGrid w:val="0"/>
          <w:sz w:val="22"/>
        </w:rPr>
        <w:t>“)</w:t>
      </w:r>
    </w:p>
    <w:p w14:paraId="1183AD01" w14:textId="77777777" w:rsidR="00722C2A" w:rsidRDefault="00722C2A">
      <w:pPr>
        <w:spacing w:after="0" w:line="259" w:lineRule="auto"/>
        <w:ind w:left="0" w:firstLine="0"/>
        <w:jc w:val="left"/>
      </w:pPr>
    </w:p>
    <w:p w14:paraId="5FFEC13A" w14:textId="77777777" w:rsidR="00722C2A" w:rsidRPr="00892A51" w:rsidRDefault="00722C2A" w:rsidP="00722C2A">
      <w:pPr>
        <w:widowControl w:val="0"/>
        <w:ind w:right="-142"/>
        <w:rPr>
          <w:rFonts w:ascii="Arial" w:hAnsi="Arial" w:cs="Arial"/>
          <w:snapToGrid w:val="0"/>
          <w:sz w:val="22"/>
        </w:rPr>
      </w:pPr>
      <w:r w:rsidRPr="00892A51">
        <w:rPr>
          <w:rFonts w:ascii="Arial" w:hAnsi="Arial" w:cs="Arial"/>
          <w:snapToGrid w:val="0"/>
          <w:sz w:val="22"/>
        </w:rPr>
        <w:t>(společně také „</w:t>
      </w:r>
      <w:r w:rsidRPr="00892A51">
        <w:rPr>
          <w:rFonts w:ascii="Arial" w:hAnsi="Arial" w:cs="Arial"/>
          <w:b/>
          <w:snapToGrid w:val="0"/>
          <w:sz w:val="22"/>
        </w:rPr>
        <w:t>smluvní strany</w:t>
      </w:r>
      <w:r w:rsidRPr="00892A51">
        <w:rPr>
          <w:rFonts w:ascii="Arial" w:hAnsi="Arial" w:cs="Arial"/>
          <w:snapToGrid w:val="0"/>
          <w:sz w:val="22"/>
        </w:rPr>
        <w:t>“),</w:t>
      </w:r>
    </w:p>
    <w:p w14:paraId="06161E8A" w14:textId="053B191F" w:rsidR="005D51A3" w:rsidRDefault="005D51A3">
      <w:pPr>
        <w:spacing w:after="0" w:line="259" w:lineRule="auto"/>
        <w:ind w:left="0" w:firstLine="0"/>
        <w:jc w:val="left"/>
      </w:pPr>
    </w:p>
    <w:p w14:paraId="2ABF778D" w14:textId="77777777" w:rsidR="00722C2A" w:rsidRPr="00892A51" w:rsidRDefault="00AD35EA" w:rsidP="00722C2A">
      <w:pPr>
        <w:widowControl w:val="0"/>
        <w:ind w:right="-142"/>
        <w:rPr>
          <w:rFonts w:ascii="Arial" w:hAnsi="Arial" w:cs="Arial"/>
          <w:snapToGrid w:val="0"/>
          <w:sz w:val="22"/>
        </w:rPr>
      </w:pPr>
      <w:r>
        <w:t xml:space="preserve"> </w:t>
      </w:r>
      <w:r w:rsidR="00722C2A" w:rsidRPr="00892A51">
        <w:rPr>
          <w:rFonts w:ascii="Arial" w:hAnsi="Arial" w:cs="Arial"/>
          <w:snapToGrid w:val="0"/>
          <w:sz w:val="22"/>
        </w:rPr>
        <w:t xml:space="preserve">uzavřely níže uvedeného dne, měsíce a roku ve smyslu ustanovení § 1746 odst. </w:t>
      </w:r>
      <w:smartTag w:uri="urn:schemas-microsoft-com:office:smarttags" w:element="metricconverter">
        <w:smartTagPr>
          <w:attr w:name="ProductID" w:val="2 a"/>
        </w:smartTagPr>
        <w:r w:rsidR="00722C2A" w:rsidRPr="00892A51">
          <w:rPr>
            <w:rFonts w:ascii="Arial" w:hAnsi="Arial" w:cs="Arial"/>
            <w:snapToGrid w:val="0"/>
            <w:sz w:val="22"/>
          </w:rPr>
          <w:t>2 a</w:t>
        </w:r>
      </w:smartTag>
      <w:r w:rsidR="00722C2A" w:rsidRPr="00892A51">
        <w:rPr>
          <w:rFonts w:ascii="Arial" w:hAnsi="Arial" w:cs="Arial"/>
          <w:snapToGrid w:val="0"/>
          <w:sz w:val="22"/>
        </w:rPr>
        <w:t xml:space="preserve"> v souladu s ustanovením § </w:t>
      </w:r>
      <w:smartTag w:uri="urn:schemas-microsoft-com:office:smarttags" w:element="metricconverter">
        <w:smartTagPr>
          <w:attr w:name="ProductID" w:val="2586 a"/>
        </w:smartTagPr>
        <w:r w:rsidR="00722C2A" w:rsidRPr="00892A51">
          <w:rPr>
            <w:rFonts w:ascii="Arial" w:hAnsi="Arial" w:cs="Arial"/>
            <w:snapToGrid w:val="0"/>
            <w:sz w:val="22"/>
          </w:rPr>
          <w:t>2586 a</w:t>
        </w:r>
      </w:smartTag>
      <w:r w:rsidR="00722C2A" w:rsidRPr="00892A51">
        <w:rPr>
          <w:rFonts w:ascii="Arial" w:hAnsi="Arial" w:cs="Arial"/>
          <w:snapToGrid w:val="0"/>
          <w:sz w:val="22"/>
        </w:rPr>
        <w:t xml:space="preserve"> násl. zákona. č. 89/2012 Sb., občanský zákoník, ve znění pozdějších předpisů (dále jen „občanský zákoník“), tuto</w:t>
      </w:r>
    </w:p>
    <w:p w14:paraId="0E5A18EB" w14:textId="77777777" w:rsidR="00722C2A" w:rsidRPr="00892A51" w:rsidRDefault="00722C2A" w:rsidP="00722C2A">
      <w:pPr>
        <w:widowControl w:val="0"/>
        <w:ind w:right="-142"/>
        <w:jc w:val="center"/>
        <w:rPr>
          <w:rFonts w:ascii="Arial" w:hAnsi="Arial" w:cs="Arial"/>
          <w:b/>
          <w:snapToGrid w:val="0"/>
          <w:sz w:val="22"/>
        </w:rPr>
      </w:pPr>
    </w:p>
    <w:p w14:paraId="317AA7CB" w14:textId="77777777" w:rsidR="00722C2A" w:rsidRPr="00892A51" w:rsidRDefault="00722C2A" w:rsidP="00722C2A">
      <w:pPr>
        <w:widowControl w:val="0"/>
        <w:ind w:right="-142"/>
        <w:jc w:val="center"/>
        <w:rPr>
          <w:rFonts w:ascii="Arial" w:hAnsi="Arial" w:cs="Arial"/>
          <w:b/>
          <w:snapToGrid w:val="0"/>
          <w:szCs w:val="24"/>
        </w:rPr>
      </w:pPr>
      <w:r w:rsidRPr="00892A51">
        <w:rPr>
          <w:rFonts w:ascii="Arial" w:hAnsi="Arial" w:cs="Arial"/>
          <w:b/>
          <w:snapToGrid w:val="0"/>
          <w:szCs w:val="24"/>
        </w:rPr>
        <w:t xml:space="preserve"> s m l o u v u:</w:t>
      </w:r>
    </w:p>
    <w:p w14:paraId="4983E7F8" w14:textId="77777777" w:rsidR="00722C2A" w:rsidRPr="00892A51" w:rsidRDefault="00722C2A" w:rsidP="00722C2A">
      <w:pPr>
        <w:rPr>
          <w:rFonts w:ascii="Arial" w:hAnsi="Arial" w:cs="Arial"/>
          <w:b/>
          <w:sz w:val="16"/>
          <w:szCs w:val="16"/>
        </w:rPr>
      </w:pPr>
    </w:p>
    <w:p w14:paraId="6466EB09" w14:textId="77777777" w:rsidR="00722C2A" w:rsidRPr="00892A51" w:rsidRDefault="00722C2A" w:rsidP="00722C2A">
      <w:pPr>
        <w:ind w:right="-142"/>
        <w:jc w:val="center"/>
        <w:rPr>
          <w:rFonts w:ascii="Arial" w:hAnsi="Arial" w:cs="Arial"/>
          <w:b/>
          <w:sz w:val="22"/>
        </w:rPr>
      </w:pPr>
      <w:r w:rsidRPr="00892A51">
        <w:rPr>
          <w:rFonts w:ascii="Arial" w:hAnsi="Arial" w:cs="Arial"/>
          <w:b/>
          <w:sz w:val="22"/>
        </w:rPr>
        <w:t>I.</w:t>
      </w:r>
    </w:p>
    <w:p w14:paraId="5B539F38" w14:textId="77777777" w:rsidR="00722C2A" w:rsidRPr="00892A51" w:rsidRDefault="00722C2A" w:rsidP="00722C2A">
      <w:pPr>
        <w:ind w:right="-142"/>
        <w:jc w:val="center"/>
        <w:rPr>
          <w:rFonts w:ascii="Arial" w:hAnsi="Arial" w:cs="Arial"/>
          <w:sz w:val="22"/>
        </w:rPr>
      </w:pPr>
      <w:r w:rsidRPr="00892A51">
        <w:rPr>
          <w:rFonts w:ascii="Arial" w:hAnsi="Arial" w:cs="Arial"/>
          <w:b/>
          <w:sz w:val="22"/>
        </w:rPr>
        <w:t>Předmět smlouvy</w:t>
      </w:r>
    </w:p>
    <w:p w14:paraId="32101736" w14:textId="77777777" w:rsidR="00722C2A" w:rsidRPr="00892A51" w:rsidRDefault="00722C2A" w:rsidP="00722C2A">
      <w:pPr>
        <w:ind w:right="-142"/>
        <w:rPr>
          <w:rFonts w:ascii="Arial" w:hAnsi="Arial" w:cs="Arial"/>
          <w:sz w:val="22"/>
        </w:rPr>
      </w:pPr>
    </w:p>
    <w:p w14:paraId="199E4D02" w14:textId="3939E82A" w:rsidR="005D51A3" w:rsidRDefault="00722C2A">
      <w:pPr>
        <w:spacing w:after="0" w:line="259" w:lineRule="auto"/>
        <w:ind w:left="0" w:firstLine="0"/>
        <w:jc w:val="left"/>
      </w:pPr>
      <w:r w:rsidRPr="0088007A">
        <w:rPr>
          <w:rFonts w:ascii="Arial" w:hAnsi="Arial" w:cs="Arial"/>
          <w:sz w:val="22"/>
        </w:rPr>
        <w:t>Zhotovitel se zavazuje provést pro objednatele</w:t>
      </w:r>
      <w:r>
        <w:rPr>
          <w:rFonts w:ascii="Arial" w:hAnsi="Arial" w:cs="Arial"/>
          <w:sz w:val="22"/>
        </w:rPr>
        <w:t xml:space="preserve"> opravu kamerového serveru dle přílohy č. 1 a to při zachování podmínek, které vyplývají z uzavřené servisní smlouvy číslo SD/2021/358</w:t>
      </w:r>
    </w:p>
    <w:p w14:paraId="4F9D46B3" w14:textId="46C46BAB" w:rsidR="005D51A3" w:rsidRDefault="00AD35EA">
      <w:pPr>
        <w:spacing w:after="171"/>
        <w:ind w:left="1133" w:hanging="360"/>
      </w:pPr>
      <w:r>
        <w:t xml:space="preserve"> </w:t>
      </w:r>
    </w:p>
    <w:p w14:paraId="25B4C1ED" w14:textId="7EC20CAA" w:rsidR="00722C2A" w:rsidRPr="00892A51" w:rsidRDefault="00722C2A" w:rsidP="00722C2A">
      <w:pPr>
        <w:ind w:right="-142"/>
        <w:jc w:val="center"/>
        <w:rPr>
          <w:rFonts w:ascii="Arial" w:hAnsi="Arial" w:cs="Arial"/>
          <w:b/>
          <w:sz w:val="22"/>
        </w:rPr>
      </w:pPr>
      <w:r>
        <w:rPr>
          <w:rFonts w:ascii="Arial" w:hAnsi="Arial" w:cs="Arial"/>
          <w:b/>
          <w:sz w:val="22"/>
        </w:rPr>
        <w:t>II</w:t>
      </w:r>
      <w:r w:rsidRPr="00892A51">
        <w:rPr>
          <w:rFonts w:ascii="Arial" w:hAnsi="Arial" w:cs="Arial"/>
          <w:b/>
          <w:sz w:val="22"/>
        </w:rPr>
        <w:t>.</w:t>
      </w:r>
    </w:p>
    <w:p w14:paraId="22806BA7" w14:textId="77777777" w:rsidR="00722C2A" w:rsidRDefault="00722C2A" w:rsidP="00722C2A">
      <w:pPr>
        <w:ind w:right="-142"/>
        <w:jc w:val="center"/>
        <w:rPr>
          <w:rFonts w:ascii="Arial" w:hAnsi="Arial" w:cs="Arial"/>
          <w:b/>
          <w:sz w:val="22"/>
        </w:rPr>
      </w:pPr>
      <w:r w:rsidRPr="00892A51">
        <w:rPr>
          <w:rFonts w:ascii="Arial" w:hAnsi="Arial" w:cs="Arial"/>
          <w:b/>
          <w:sz w:val="22"/>
        </w:rPr>
        <w:t>Cena a platební podmínky</w:t>
      </w:r>
    </w:p>
    <w:p w14:paraId="47EB2706" w14:textId="77777777" w:rsidR="00963985" w:rsidRPr="00892A51" w:rsidRDefault="00963985" w:rsidP="00722C2A">
      <w:pPr>
        <w:ind w:right="-142"/>
        <w:jc w:val="center"/>
        <w:rPr>
          <w:rFonts w:ascii="Arial" w:hAnsi="Arial" w:cs="Arial"/>
          <w:sz w:val="22"/>
        </w:rPr>
      </w:pPr>
    </w:p>
    <w:p w14:paraId="2BC4B90A" w14:textId="1796C129" w:rsidR="00963985" w:rsidRDefault="00722C2A" w:rsidP="00963985">
      <w:pPr>
        <w:pStyle w:val="Odstavecseseznamem"/>
        <w:ind w:left="0" w:right="-142"/>
        <w:jc w:val="both"/>
        <w:rPr>
          <w:rFonts w:ascii="Arial" w:hAnsi="Arial" w:cs="Arial"/>
          <w:sz w:val="22"/>
          <w:szCs w:val="22"/>
        </w:rPr>
      </w:pPr>
      <w:r w:rsidRPr="00F450D2">
        <w:rPr>
          <w:rFonts w:ascii="Arial" w:hAnsi="Arial" w:cs="Arial"/>
          <w:sz w:val="22"/>
          <w:szCs w:val="22"/>
        </w:rPr>
        <w:t xml:space="preserve">Cena za provedení </w:t>
      </w:r>
      <w:r w:rsidR="00963985">
        <w:rPr>
          <w:rFonts w:ascii="Arial" w:hAnsi="Arial" w:cs="Arial"/>
          <w:sz w:val="22"/>
          <w:szCs w:val="22"/>
        </w:rPr>
        <w:t>díla je 241 502 Kč bez DP</w:t>
      </w:r>
      <w:r w:rsidR="00F076F4">
        <w:rPr>
          <w:rFonts w:ascii="Arial" w:hAnsi="Arial" w:cs="Arial"/>
          <w:sz w:val="22"/>
          <w:szCs w:val="22"/>
        </w:rPr>
        <w:t>H</w:t>
      </w:r>
    </w:p>
    <w:p w14:paraId="7D19566E" w14:textId="17821F67" w:rsidR="00963985" w:rsidRPr="00892A51" w:rsidRDefault="00963985" w:rsidP="00963985">
      <w:pPr>
        <w:ind w:right="-142"/>
        <w:jc w:val="center"/>
        <w:rPr>
          <w:rFonts w:ascii="Arial" w:hAnsi="Arial" w:cs="Arial"/>
          <w:b/>
          <w:sz w:val="22"/>
        </w:rPr>
      </w:pPr>
      <w:r>
        <w:rPr>
          <w:rFonts w:ascii="Arial" w:hAnsi="Arial" w:cs="Arial"/>
          <w:b/>
          <w:sz w:val="22"/>
        </w:rPr>
        <w:lastRenderedPageBreak/>
        <w:t>III</w:t>
      </w:r>
      <w:r w:rsidRPr="00892A51">
        <w:rPr>
          <w:rFonts w:ascii="Arial" w:hAnsi="Arial" w:cs="Arial"/>
          <w:b/>
          <w:sz w:val="22"/>
        </w:rPr>
        <w:t>.</w:t>
      </w:r>
    </w:p>
    <w:p w14:paraId="5015BC56" w14:textId="77777777" w:rsidR="00963985" w:rsidRPr="00892A51" w:rsidRDefault="00963985" w:rsidP="00963985">
      <w:pPr>
        <w:widowControl w:val="0"/>
        <w:ind w:right="-142"/>
        <w:jc w:val="center"/>
        <w:rPr>
          <w:rFonts w:ascii="Arial" w:hAnsi="Arial" w:cs="Arial"/>
          <w:b/>
          <w:snapToGrid w:val="0"/>
          <w:sz w:val="22"/>
        </w:rPr>
      </w:pPr>
      <w:r w:rsidRPr="00892A51">
        <w:rPr>
          <w:rFonts w:ascii="Arial" w:hAnsi="Arial" w:cs="Arial"/>
          <w:b/>
          <w:snapToGrid w:val="0"/>
          <w:sz w:val="22"/>
        </w:rPr>
        <w:t>Předání a převzetí servisní činnosti</w:t>
      </w:r>
    </w:p>
    <w:p w14:paraId="6CE70B2D" w14:textId="77777777" w:rsidR="00963985" w:rsidRPr="00A053A4" w:rsidRDefault="00963985" w:rsidP="00963985">
      <w:pPr>
        <w:ind w:right="-142"/>
        <w:rPr>
          <w:rFonts w:ascii="Arial" w:hAnsi="Arial" w:cs="Arial"/>
          <w:sz w:val="16"/>
          <w:szCs w:val="16"/>
        </w:rPr>
      </w:pPr>
    </w:p>
    <w:p w14:paraId="76A4B8AD" w14:textId="15F25936" w:rsidR="00963985" w:rsidRPr="00F076F4" w:rsidRDefault="00963985" w:rsidP="00F076F4">
      <w:pPr>
        <w:pStyle w:val="Odstavecseseznamem"/>
        <w:numPr>
          <w:ilvl w:val="0"/>
          <w:numId w:val="14"/>
        </w:numPr>
        <w:ind w:right="-142"/>
        <w:rPr>
          <w:rFonts w:ascii="Arial" w:hAnsi="Arial" w:cs="Arial"/>
          <w:sz w:val="22"/>
        </w:rPr>
      </w:pPr>
      <w:r w:rsidRPr="00F076F4">
        <w:rPr>
          <w:rFonts w:ascii="Arial" w:hAnsi="Arial" w:cs="Arial"/>
          <w:sz w:val="22"/>
        </w:rPr>
        <w:t>Servisní list sepsaný zhotovitelem a podepsaný oběma smluvními stranami bude obsahovat minimálně tyto náležitosti:</w:t>
      </w:r>
    </w:p>
    <w:p w14:paraId="426B5B77"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 xml:space="preserve">přesnou identifikaci smluvních stran, </w:t>
      </w:r>
    </w:p>
    <w:p w14:paraId="18B580BD"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vymezení předmětu servisní činnosti,</w:t>
      </w:r>
    </w:p>
    <w:p w14:paraId="14578A93"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 xml:space="preserve">zhodnocení nahlášeného závadného stavu či podmínek, za kterých se pravidelná prohlídka či revize koná, </w:t>
      </w:r>
    </w:p>
    <w:p w14:paraId="7467DF43"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 xml:space="preserve">soupis zjištěných závad a popis jejich odstranění zhotovitelem, </w:t>
      </w:r>
    </w:p>
    <w:p w14:paraId="7BCFE716"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záznam o případných dodatečně požadovaných pracích či výkonech objednatelem,</w:t>
      </w:r>
    </w:p>
    <w:p w14:paraId="0823E089"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prohlášení objednatele, že servisní činnost provedenou zhotovitelem přejímá s výhradami nebo bez výhrad,</w:t>
      </w:r>
    </w:p>
    <w:p w14:paraId="4C55D722" w14:textId="77777777" w:rsid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soupis příloh (např. revizní zprávy, zápisy z periodických servisních prohlídek, aj.),</w:t>
      </w:r>
    </w:p>
    <w:p w14:paraId="6637BEB4" w14:textId="77492679" w:rsidR="00963985" w:rsidRPr="00F076F4" w:rsidRDefault="00963985" w:rsidP="00F076F4">
      <w:pPr>
        <w:pStyle w:val="Odstavecseseznamem"/>
        <w:numPr>
          <w:ilvl w:val="1"/>
          <w:numId w:val="15"/>
        </w:numPr>
        <w:ind w:right="-142"/>
        <w:rPr>
          <w:rFonts w:ascii="Arial" w:hAnsi="Arial" w:cs="Arial"/>
          <w:sz w:val="22"/>
        </w:rPr>
      </w:pPr>
      <w:r w:rsidRPr="00F076F4">
        <w:rPr>
          <w:rFonts w:ascii="Arial" w:hAnsi="Arial" w:cs="Arial"/>
          <w:sz w:val="22"/>
        </w:rPr>
        <w:t>datum, místo a podpisy smluvních stran, popř. jejich oprávněných zástupců.</w:t>
      </w:r>
    </w:p>
    <w:p w14:paraId="07A8FE51" w14:textId="77777777" w:rsidR="00F076F4" w:rsidRDefault="00F076F4" w:rsidP="00F076F4">
      <w:pPr>
        <w:pStyle w:val="Odstavecseseznamem"/>
        <w:ind w:left="0" w:right="-142"/>
        <w:jc w:val="both"/>
        <w:rPr>
          <w:rFonts w:ascii="Arial" w:eastAsia="Arial" w:hAnsi="Arial" w:cs="Arial"/>
          <w:sz w:val="22"/>
          <w:szCs w:val="22"/>
        </w:rPr>
      </w:pPr>
    </w:p>
    <w:p w14:paraId="10FFCF09" w14:textId="72980452" w:rsidR="00963985" w:rsidRPr="00F450D2" w:rsidRDefault="00963985" w:rsidP="00F076F4">
      <w:pPr>
        <w:pStyle w:val="Odstavecseseznamem"/>
        <w:numPr>
          <w:ilvl w:val="0"/>
          <w:numId w:val="14"/>
        </w:numPr>
        <w:ind w:right="-142"/>
        <w:jc w:val="both"/>
        <w:rPr>
          <w:rFonts w:ascii="Arial" w:eastAsia="Arial" w:hAnsi="Arial" w:cs="Arial"/>
          <w:sz w:val="22"/>
          <w:szCs w:val="22"/>
        </w:rPr>
      </w:pPr>
      <w:r w:rsidRPr="00F450D2">
        <w:rPr>
          <w:rFonts w:ascii="Arial" w:eastAsia="Arial" w:hAnsi="Arial" w:cs="Arial"/>
          <w:sz w:val="22"/>
          <w:szCs w:val="22"/>
        </w:rPr>
        <w:t xml:space="preserve">Zhotovitel odpovídá za vady konkrétního zhotovitelem servisovaného zařízení, které má toto </w:t>
      </w:r>
      <w:r w:rsidRPr="00F450D2">
        <w:rPr>
          <w:rFonts w:ascii="Arial" w:eastAsia="Arial" w:hAnsi="Arial" w:cs="Arial"/>
          <w:sz w:val="22"/>
          <w:szCs w:val="22"/>
        </w:rPr>
        <w:br/>
        <w:t xml:space="preserve">při jeho předání objednateli následně po provedené servisní činnosti zhotovitele, pokud zhotovitel písemně neupozorní objednatele předem na trvající a neodstranitelné vady. Zhotovitel je povinen případné vady při předání servisní činnosti odstranit dodatečnou opravou či revizí, a to ve lhůtě dohodnuté v servisním listu. Nebude-li tato lhůta dohodnuta, pak ve lhůtě přiměřené okolnostem </w:t>
      </w:r>
      <w:r w:rsidRPr="00F450D2">
        <w:rPr>
          <w:rFonts w:ascii="Arial" w:eastAsia="Arial" w:hAnsi="Arial" w:cs="Arial"/>
          <w:sz w:val="22"/>
          <w:szCs w:val="22"/>
        </w:rPr>
        <w:br/>
        <w:t>a rozsahu vady, nejdéle však do 30 dnů od podpisu servisního listu.</w:t>
      </w:r>
    </w:p>
    <w:p w14:paraId="40B63B66" w14:textId="77777777" w:rsidR="00963985" w:rsidRPr="00A053A4" w:rsidRDefault="00963985" w:rsidP="00963985">
      <w:pPr>
        <w:widowControl w:val="0"/>
        <w:ind w:right="-142"/>
        <w:jc w:val="center"/>
        <w:rPr>
          <w:rFonts w:ascii="Arial" w:hAnsi="Arial" w:cs="Arial"/>
          <w:b/>
          <w:snapToGrid w:val="0"/>
          <w:sz w:val="16"/>
          <w:szCs w:val="16"/>
        </w:rPr>
      </w:pPr>
    </w:p>
    <w:p w14:paraId="2A119B90" w14:textId="53280142" w:rsidR="00963985" w:rsidRPr="00892A51" w:rsidRDefault="00963985" w:rsidP="00963985">
      <w:pPr>
        <w:widowControl w:val="0"/>
        <w:ind w:right="-142"/>
        <w:jc w:val="center"/>
        <w:rPr>
          <w:rFonts w:ascii="Arial" w:hAnsi="Arial" w:cs="Arial"/>
          <w:b/>
          <w:snapToGrid w:val="0"/>
          <w:sz w:val="22"/>
        </w:rPr>
      </w:pPr>
      <w:r>
        <w:rPr>
          <w:rFonts w:ascii="Arial" w:hAnsi="Arial" w:cs="Arial"/>
          <w:b/>
          <w:snapToGrid w:val="0"/>
          <w:sz w:val="22"/>
        </w:rPr>
        <w:t>IV</w:t>
      </w:r>
      <w:r w:rsidRPr="00892A51">
        <w:rPr>
          <w:rFonts w:ascii="Arial" w:hAnsi="Arial" w:cs="Arial"/>
          <w:b/>
          <w:snapToGrid w:val="0"/>
          <w:sz w:val="22"/>
        </w:rPr>
        <w:t>.</w:t>
      </w:r>
    </w:p>
    <w:p w14:paraId="00899F2F" w14:textId="77777777" w:rsidR="00963985" w:rsidRPr="00892A51" w:rsidRDefault="00963985" w:rsidP="00963985">
      <w:pPr>
        <w:widowControl w:val="0"/>
        <w:ind w:right="-142"/>
        <w:jc w:val="center"/>
        <w:rPr>
          <w:rFonts w:ascii="Arial" w:hAnsi="Arial" w:cs="Arial"/>
          <w:b/>
          <w:snapToGrid w:val="0"/>
          <w:sz w:val="22"/>
        </w:rPr>
      </w:pPr>
      <w:r w:rsidRPr="00892A51">
        <w:rPr>
          <w:rFonts w:ascii="Arial" w:hAnsi="Arial" w:cs="Arial"/>
          <w:b/>
          <w:snapToGrid w:val="0"/>
          <w:sz w:val="22"/>
        </w:rPr>
        <w:t>Smluvní pokuty</w:t>
      </w:r>
    </w:p>
    <w:p w14:paraId="3AAC8692" w14:textId="77777777" w:rsidR="00963985" w:rsidRPr="00A053A4" w:rsidRDefault="00963985" w:rsidP="00963985">
      <w:pPr>
        <w:ind w:right="-142"/>
        <w:rPr>
          <w:rFonts w:ascii="Arial" w:hAnsi="Arial" w:cs="Arial"/>
          <w:sz w:val="16"/>
          <w:szCs w:val="16"/>
        </w:rPr>
      </w:pPr>
    </w:p>
    <w:p w14:paraId="07B3673C" w14:textId="6ACA9B14" w:rsidR="00963985" w:rsidRPr="00F076F4" w:rsidRDefault="00963985" w:rsidP="00F076F4">
      <w:pPr>
        <w:ind w:left="0" w:right="-142"/>
        <w:rPr>
          <w:rFonts w:ascii="Arial" w:hAnsi="Arial" w:cs="Arial"/>
          <w:sz w:val="22"/>
        </w:rPr>
      </w:pPr>
      <w:r w:rsidRPr="00F076F4">
        <w:rPr>
          <w:rFonts w:ascii="Arial" w:hAnsi="Arial" w:cs="Arial"/>
          <w:sz w:val="22"/>
        </w:rPr>
        <w:t>Smluvní strany se dohodly při neplnění povinností vyplývajících ze smlouvy na těchto smluvních pokutách:</w:t>
      </w:r>
    </w:p>
    <w:p w14:paraId="088C1FB9" w14:textId="77777777" w:rsidR="00963985" w:rsidRPr="00892A51" w:rsidRDefault="00963985" w:rsidP="00963985">
      <w:pPr>
        <w:ind w:right="-142"/>
        <w:rPr>
          <w:rFonts w:ascii="Arial" w:hAnsi="Arial" w:cs="Arial"/>
          <w:sz w:val="22"/>
        </w:rPr>
      </w:pPr>
      <w:r w:rsidRPr="00892A51">
        <w:rPr>
          <w:rFonts w:ascii="Arial" w:hAnsi="Arial" w:cs="Arial"/>
          <w:sz w:val="22"/>
        </w:rPr>
        <w:t>a/   v případě prodlení zhotovitele s dokončením a předáním servisní činnosti ve smyslu této smlouvy zaplatí zhotovitel objednateli za každý započatý den prodlení smluvní pokutu ve výši 0,5 % z ceny za provedení předmětné servisní činnosti podle Přílohy č. 1 této smlouvy bez DPH;</w:t>
      </w:r>
    </w:p>
    <w:p w14:paraId="02A9B528" w14:textId="77777777" w:rsidR="00963985" w:rsidRPr="00892A51" w:rsidRDefault="00963985" w:rsidP="00963985">
      <w:pPr>
        <w:ind w:right="-142"/>
        <w:rPr>
          <w:rFonts w:ascii="Arial" w:hAnsi="Arial" w:cs="Arial"/>
          <w:sz w:val="22"/>
        </w:rPr>
      </w:pPr>
      <w:r w:rsidRPr="00892A51">
        <w:rPr>
          <w:rFonts w:ascii="Arial" w:hAnsi="Arial" w:cs="Arial"/>
          <w:sz w:val="22"/>
        </w:rPr>
        <w:t>b/   v případě prodlení objednatele s úhradou faktury podle této smlouvy zaplatí objednatel zhotoviteli za každý započatý den prodlení smluvní pokutu ve výši 0,5 % z fakturované částky.</w:t>
      </w:r>
    </w:p>
    <w:p w14:paraId="439774CE" w14:textId="77777777" w:rsidR="00963985" w:rsidRPr="00892A51" w:rsidRDefault="00963985" w:rsidP="00963985">
      <w:pPr>
        <w:ind w:right="-142"/>
        <w:rPr>
          <w:rFonts w:ascii="Arial" w:hAnsi="Arial" w:cs="Arial"/>
          <w:sz w:val="22"/>
        </w:rPr>
      </w:pPr>
      <w:r w:rsidRPr="00892A51">
        <w:rPr>
          <w:rFonts w:ascii="Arial" w:hAnsi="Arial" w:cs="Arial"/>
          <w:sz w:val="22"/>
        </w:rPr>
        <w:t>Splatnost smluvních pokut je 10 dnů ode dne doručení písemné výzvy povinné smluvní straně.</w:t>
      </w:r>
      <w:r>
        <w:rPr>
          <w:rFonts w:ascii="Arial" w:hAnsi="Arial" w:cs="Arial"/>
          <w:sz w:val="22"/>
        </w:rPr>
        <w:br/>
      </w:r>
      <w:r w:rsidRPr="00892A51">
        <w:rPr>
          <w:rFonts w:ascii="Arial" w:hAnsi="Arial" w:cs="Arial"/>
          <w:sz w:val="22"/>
        </w:rPr>
        <w:t xml:space="preserve">V případě, že vznikne povinnost platit smluvní pokutu oběma smluvním stranám, může být provedeno na základě písemné dohody zhotovitele a objednatele jejich započtení ve smyslu </w:t>
      </w:r>
      <w:proofErr w:type="spellStart"/>
      <w:r w:rsidRPr="00892A51">
        <w:rPr>
          <w:rFonts w:ascii="Arial" w:hAnsi="Arial" w:cs="Arial"/>
          <w:sz w:val="22"/>
        </w:rPr>
        <w:t>ust</w:t>
      </w:r>
      <w:proofErr w:type="spellEnd"/>
      <w:r w:rsidRPr="00892A51">
        <w:rPr>
          <w:rFonts w:ascii="Arial" w:hAnsi="Arial" w:cs="Arial"/>
          <w:sz w:val="22"/>
        </w:rPr>
        <w:t xml:space="preserve">. § </w:t>
      </w:r>
      <w:smartTag w:uri="urn:schemas-microsoft-com:office:smarttags" w:element="metricconverter">
        <w:smartTagPr>
          <w:attr w:name="ProductID" w:val="1982 a"/>
        </w:smartTagPr>
        <w:r w:rsidRPr="00892A51">
          <w:rPr>
            <w:rFonts w:ascii="Arial" w:hAnsi="Arial" w:cs="Arial"/>
            <w:sz w:val="22"/>
          </w:rPr>
          <w:t>1982 a</w:t>
        </w:r>
      </w:smartTag>
      <w:r w:rsidRPr="00892A51">
        <w:rPr>
          <w:rFonts w:ascii="Arial" w:hAnsi="Arial" w:cs="Arial"/>
          <w:sz w:val="22"/>
        </w:rPr>
        <w:t xml:space="preserve"> násl. občanského zákoníku.</w:t>
      </w:r>
    </w:p>
    <w:p w14:paraId="2468E24D" w14:textId="77777777" w:rsidR="00963985" w:rsidRDefault="00963985" w:rsidP="00963985">
      <w:pPr>
        <w:ind w:right="-142"/>
        <w:rPr>
          <w:rFonts w:ascii="Arial" w:hAnsi="Arial" w:cs="Arial"/>
          <w:sz w:val="22"/>
        </w:rPr>
      </w:pPr>
    </w:p>
    <w:p w14:paraId="28EFE55D" w14:textId="5220BCA5" w:rsidR="00963985" w:rsidRPr="00892A51" w:rsidRDefault="00963985" w:rsidP="00963985">
      <w:pPr>
        <w:ind w:right="-142"/>
        <w:jc w:val="center"/>
        <w:rPr>
          <w:rFonts w:ascii="Arial" w:hAnsi="Arial" w:cs="Arial"/>
          <w:b/>
          <w:sz w:val="22"/>
        </w:rPr>
      </w:pPr>
      <w:r>
        <w:rPr>
          <w:rFonts w:ascii="Arial" w:hAnsi="Arial" w:cs="Arial"/>
          <w:b/>
          <w:sz w:val="22"/>
        </w:rPr>
        <w:t>V</w:t>
      </w:r>
      <w:r w:rsidRPr="00892A51">
        <w:rPr>
          <w:rFonts w:ascii="Arial" w:hAnsi="Arial" w:cs="Arial"/>
          <w:b/>
          <w:sz w:val="22"/>
        </w:rPr>
        <w:t>.</w:t>
      </w:r>
    </w:p>
    <w:p w14:paraId="163EE426" w14:textId="77777777" w:rsidR="00963985" w:rsidRPr="00892A51" w:rsidRDefault="00963985" w:rsidP="00963985">
      <w:pPr>
        <w:keepNext/>
        <w:ind w:right="-142"/>
        <w:jc w:val="center"/>
        <w:outlineLvl w:val="1"/>
        <w:rPr>
          <w:rFonts w:ascii="Arial" w:hAnsi="Arial" w:cs="Arial"/>
          <w:b/>
          <w:sz w:val="22"/>
        </w:rPr>
      </w:pPr>
      <w:r w:rsidRPr="00892A51">
        <w:rPr>
          <w:rFonts w:ascii="Arial" w:hAnsi="Arial" w:cs="Arial"/>
          <w:b/>
          <w:sz w:val="22"/>
        </w:rPr>
        <w:t>Závěrečná ujednání</w:t>
      </w:r>
    </w:p>
    <w:p w14:paraId="05C34499" w14:textId="77777777" w:rsidR="00963985" w:rsidRPr="00892A51" w:rsidRDefault="00963985" w:rsidP="00963985">
      <w:pPr>
        <w:widowControl w:val="0"/>
        <w:ind w:right="-142"/>
        <w:rPr>
          <w:rFonts w:ascii="Arial" w:hAnsi="Arial" w:cs="Arial"/>
          <w:snapToGrid w:val="0"/>
          <w:sz w:val="22"/>
        </w:rPr>
      </w:pPr>
    </w:p>
    <w:p w14:paraId="2F2B5D4D" w14:textId="45AA19B2"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Práva a povinnosti smluvních stran, která nejsou výslovně upravená touto smlouvou, se řídí příslušnými ustanoveními zákona č. 89/2012 Sb., občanský zákoník, ve znění pozdějších předpisů a předpisy souvisejícími.</w:t>
      </w:r>
    </w:p>
    <w:p w14:paraId="45037C4E" w14:textId="77777777" w:rsidR="00F076F4" w:rsidRDefault="00F076F4" w:rsidP="00F076F4">
      <w:pPr>
        <w:pStyle w:val="Odstavecseseznamem"/>
        <w:widowControl w:val="0"/>
        <w:ind w:left="0" w:right="-142"/>
        <w:jc w:val="both"/>
        <w:rPr>
          <w:rFonts w:ascii="Arial" w:hAnsi="Arial" w:cs="Arial"/>
          <w:sz w:val="22"/>
          <w:szCs w:val="22"/>
        </w:rPr>
      </w:pPr>
      <w:bookmarkStart w:id="2" w:name="_Hlk31273315"/>
      <w:bookmarkStart w:id="3" w:name="_Hlk490658145"/>
    </w:p>
    <w:p w14:paraId="0018E8A1" w14:textId="15F40910" w:rsidR="00963985" w:rsidRPr="00F450D2" w:rsidRDefault="00963985" w:rsidP="00F076F4">
      <w:pPr>
        <w:pStyle w:val="Odstavecseseznamem"/>
        <w:widowControl w:val="0"/>
        <w:numPr>
          <w:ilvl w:val="0"/>
          <w:numId w:val="12"/>
        </w:numPr>
        <w:ind w:right="-142"/>
        <w:jc w:val="both"/>
        <w:rPr>
          <w:rFonts w:ascii="Arial" w:hAnsi="Arial" w:cs="Arial"/>
          <w:sz w:val="22"/>
          <w:szCs w:val="22"/>
        </w:rPr>
      </w:pPr>
      <w:r w:rsidRPr="006C7756">
        <w:rPr>
          <w:rFonts w:ascii="Arial" w:hAnsi="Arial" w:cs="Arial"/>
          <w:sz w:val="22"/>
          <w:szCs w:val="22"/>
        </w:rPr>
        <w:t xml:space="preserve">Je-li objednatel povinným subjektem dle </w:t>
      </w:r>
      <w:proofErr w:type="spellStart"/>
      <w:r w:rsidRPr="006C7756">
        <w:rPr>
          <w:rFonts w:ascii="Arial" w:hAnsi="Arial" w:cs="Arial"/>
          <w:sz w:val="22"/>
          <w:szCs w:val="22"/>
        </w:rPr>
        <w:t>ust</w:t>
      </w:r>
      <w:proofErr w:type="spellEnd"/>
      <w:r w:rsidRPr="006C7756">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w:t>
      </w:r>
      <w:proofErr w:type="spellStart"/>
      <w:r w:rsidRPr="006C7756">
        <w:rPr>
          <w:rFonts w:ascii="Arial" w:hAnsi="Arial" w:cs="Arial"/>
          <w:sz w:val="22"/>
          <w:szCs w:val="22"/>
        </w:rPr>
        <w:t>ust</w:t>
      </w:r>
      <w:proofErr w:type="spellEnd"/>
      <w:r w:rsidRPr="006C7756">
        <w:rPr>
          <w:rFonts w:ascii="Arial" w:hAnsi="Arial" w:cs="Arial"/>
          <w:sz w:val="22"/>
          <w:szCs w:val="22"/>
        </w:rPr>
        <w:t xml:space="preserve">. </w:t>
      </w:r>
      <w:r w:rsidRPr="006C7756">
        <w:rPr>
          <w:rFonts w:ascii="Arial" w:hAnsi="Arial" w:cs="Arial"/>
          <w:sz w:val="22"/>
          <w:szCs w:val="22"/>
        </w:rPr>
        <w:lastRenderedPageBreak/>
        <w:t>§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w:t>
      </w:r>
      <w:r w:rsidRPr="00F450D2">
        <w:rPr>
          <w:rFonts w:ascii="Arial" w:hAnsi="Arial" w:cs="Arial"/>
          <w:sz w:val="22"/>
          <w:szCs w:val="22"/>
        </w:rPr>
        <w:t xml:space="preserve"> </w:t>
      </w:r>
      <w:bookmarkEnd w:id="2"/>
      <w:r w:rsidRPr="00F450D2">
        <w:rPr>
          <w:rFonts w:ascii="Arial" w:hAnsi="Arial" w:cs="Arial"/>
          <w:sz w:val="22"/>
          <w:szCs w:val="22"/>
        </w:rPr>
        <w:t>má být tato smlouva uveřejněna podle uvedeného zákona o zadávání veřejných zakázek.</w:t>
      </w:r>
      <w:r>
        <w:rPr>
          <w:rFonts w:ascii="Arial" w:hAnsi="Arial" w:cs="Arial"/>
          <w:sz w:val="22"/>
          <w:szCs w:val="22"/>
        </w:rPr>
        <w:t xml:space="preserve"> </w:t>
      </w:r>
      <w:r w:rsidRPr="006C7756">
        <w:rPr>
          <w:rFonts w:ascii="Arial" w:hAnsi="Arial" w:cs="Arial"/>
          <w:sz w:val="22"/>
          <w:szCs w:val="22"/>
        </w:rPr>
        <w:t>Na důkaz souhlasu s tímto ustanovením připojují smluvní strany níže své podpisy</w:t>
      </w:r>
      <w:r>
        <w:rPr>
          <w:rFonts w:ascii="Arial" w:hAnsi="Arial" w:cs="Arial"/>
          <w:sz w:val="22"/>
          <w:szCs w:val="22"/>
        </w:rPr>
        <w:t>.</w:t>
      </w:r>
    </w:p>
    <w:bookmarkEnd w:id="3"/>
    <w:p w14:paraId="56A11332" w14:textId="77777777" w:rsidR="00963985" w:rsidRDefault="00963985" w:rsidP="00963985">
      <w:pPr>
        <w:contextualSpacing/>
        <w:rPr>
          <w:rFonts w:ascii="Arial" w:hAnsi="Arial" w:cs="Arial"/>
          <w:sz w:val="22"/>
        </w:rPr>
      </w:pPr>
    </w:p>
    <w:p w14:paraId="30D7D22A" w14:textId="18799401" w:rsidR="00963985" w:rsidRDefault="00963985" w:rsidP="00F076F4">
      <w:pPr>
        <w:pStyle w:val="Odstavecseseznamem"/>
        <w:numPr>
          <w:ilvl w:val="0"/>
          <w:numId w:val="12"/>
        </w:numPr>
        <w:ind w:right="-142"/>
        <w:jc w:val="both"/>
        <w:rPr>
          <w:rFonts w:ascii="Arial" w:hAnsi="Arial" w:cs="Arial"/>
          <w:sz w:val="22"/>
          <w:szCs w:val="22"/>
        </w:rPr>
      </w:pPr>
      <w:r>
        <w:rPr>
          <w:rFonts w:ascii="Arial" w:hAnsi="Arial" w:cs="Arial"/>
          <w:sz w:val="22"/>
          <w:szCs w:val="22"/>
        </w:rPr>
        <w:t>Tato smlouva může být měněna nebo doplňována pouze písemnými dodatky, podepsanými oběma smluvními stranami, resp. oprávněnými zástupci obou smluvních stran</w:t>
      </w:r>
    </w:p>
    <w:p w14:paraId="54D39632" w14:textId="77777777" w:rsidR="00963985" w:rsidRDefault="00963985" w:rsidP="00963985">
      <w:pPr>
        <w:pStyle w:val="Odstavecseseznamem"/>
        <w:ind w:left="0" w:right="-142"/>
        <w:jc w:val="both"/>
        <w:rPr>
          <w:rFonts w:ascii="Arial" w:hAnsi="Arial" w:cs="Arial"/>
          <w:sz w:val="22"/>
          <w:szCs w:val="22"/>
        </w:rPr>
      </w:pPr>
    </w:p>
    <w:p w14:paraId="27988AD2" w14:textId="7D52693D"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221263DF" w14:textId="77777777" w:rsidR="00963985" w:rsidRDefault="00963985" w:rsidP="00963985">
      <w:pPr>
        <w:widowControl w:val="0"/>
        <w:rPr>
          <w:rFonts w:ascii="Arial" w:hAnsi="Arial" w:cs="Arial"/>
          <w:sz w:val="22"/>
        </w:rPr>
      </w:pPr>
    </w:p>
    <w:p w14:paraId="368E23BA" w14:textId="3D0EE793"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 xml:space="preserve">Tato smlouva je platná dnem jejího podpisu oběma smluvními stranami a účinnosti nabývá nejdříve dnem jejího uveřejnění v registru smluv ve smyslu </w:t>
      </w:r>
      <w:proofErr w:type="spellStart"/>
      <w:r w:rsidRPr="00F076F4">
        <w:rPr>
          <w:rFonts w:ascii="Arial" w:hAnsi="Arial" w:cs="Arial"/>
          <w:sz w:val="22"/>
        </w:rPr>
        <w:t>ust</w:t>
      </w:r>
      <w:proofErr w:type="spellEnd"/>
      <w:r w:rsidRPr="00F076F4">
        <w:rPr>
          <w:rFonts w:ascii="Arial" w:hAnsi="Arial" w:cs="Arial"/>
          <w:sz w:val="22"/>
        </w:rPr>
        <w:t>. § 6 odst. 1 zákona o registru smluv.</w:t>
      </w:r>
    </w:p>
    <w:p w14:paraId="05FD5584" w14:textId="77777777" w:rsidR="00963985" w:rsidRDefault="00963985" w:rsidP="00963985">
      <w:pPr>
        <w:widowControl w:val="0"/>
        <w:ind w:right="-142"/>
        <w:rPr>
          <w:rFonts w:ascii="Arial" w:hAnsi="Arial" w:cs="Arial"/>
          <w:sz w:val="22"/>
        </w:rPr>
      </w:pPr>
    </w:p>
    <w:p w14:paraId="62C64C3E" w14:textId="3C5A37C0"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Účinností této smlouvy zaniká účinnost Smlouvy o provádění pozáručního a mimozáručního servisu č. 600512 / 04 uzavřené mezi Statutárním městem Jablonec nad Nisou a TELMO, spol. s.r.o. dne 20. 8. 2012.</w:t>
      </w:r>
    </w:p>
    <w:p w14:paraId="6C67D591" w14:textId="77777777" w:rsidR="00963985" w:rsidRDefault="00963985" w:rsidP="00963985">
      <w:pPr>
        <w:widowControl w:val="0"/>
        <w:rPr>
          <w:rFonts w:ascii="Arial" w:hAnsi="Arial" w:cs="Arial"/>
          <w:sz w:val="22"/>
        </w:rPr>
      </w:pPr>
    </w:p>
    <w:p w14:paraId="6678FCDB" w14:textId="062C7118"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 xml:space="preserve">Tato smlouva byla vyhotovena ve dvou stejnopisech, z nichž každá smluvní strana obdrží po jednom vyhotovení. </w:t>
      </w:r>
    </w:p>
    <w:p w14:paraId="4A894E07" w14:textId="77777777" w:rsidR="00963985" w:rsidRDefault="00963985" w:rsidP="00963985">
      <w:pPr>
        <w:rPr>
          <w:rFonts w:ascii="Arial" w:hAnsi="Arial" w:cs="Arial"/>
          <w:sz w:val="22"/>
        </w:rPr>
      </w:pPr>
    </w:p>
    <w:p w14:paraId="10832EAC" w14:textId="5DF186F8" w:rsidR="00963985" w:rsidRPr="00F076F4" w:rsidRDefault="00963985" w:rsidP="00F076F4">
      <w:pPr>
        <w:pStyle w:val="Odstavecseseznamem"/>
        <w:widowControl w:val="0"/>
        <w:numPr>
          <w:ilvl w:val="0"/>
          <w:numId w:val="12"/>
        </w:numPr>
        <w:ind w:right="-142"/>
        <w:rPr>
          <w:rFonts w:ascii="Arial" w:hAnsi="Arial" w:cs="Arial"/>
          <w:sz w:val="22"/>
        </w:rPr>
      </w:pPr>
      <w:r w:rsidRPr="00F076F4">
        <w:rPr>
          <w:rFonts w:ascii="Arial" w:hAnsi="Arial" w:cs="Arial"/>
          <w:sz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13A244F1" w14:textId="77777777" w:rsidR="00963985" w:rsidRDefault="00963985" w:rsidP="00963985">
      <w:pPr>
        <w:rPr>
          <w:rFonts w:ascii="Arial" w:hAnsi="Arial" w:cs="Arial"/>
          <w:sz w:val="22"/>
        </w:rPr>
      </w:pPr>
      <w:bookmarkStart w:id="4" w:name="_Hlk490811056"/>
    </w:p>
    <w:p w14:paraId="1625B4AA" w14:textId="77777777" w:rsidR="00F076F4" w:rsidRDefault="00963985" w:rsidP="00F076F4">
      <w:pPr>
        <w:ind w:left="0" w:firstLine="0"/>
        <w:rPr>
          <w:rFonts w:ascii="Arial" w:hAnsi="Arial" w:cs="Arial"/>
          <w:sz w:val="22"/>
        </w:rPr>
      </w:pPr>
      <w:r w:rsidRPr="00FD25B5">
        <w:rPr>
          <w:rFonts w:ascii="Arial" w:hAnsi="Arial" w:cs="Arial"/>
          <w:sz w:val="22"/>
          <w:u w:val="single"/>
        </w:rPr>
        <w:t>Objednatel</w:t>
      </w:r>
      <w:r w:rsidRPr="00FD25B5">
        <w:rPr>
          <w:rFonts w:ascii="Arial" w:hAnsi="Arial" w:cs="Arial"/>
          <w:sz w:val="22"/>
        </w:rPr>
        <w:t>:</w:t>
      </w:r>
      <w:r w:rsidRPr="00FD25B5">
        <w:rPr>
          <w:rFonts w:ascii="Arial" w:hAnsi="Arial" w:cs="Arial"/>
          <w:sz w:val="22"/>
        </w:rPr>
        <w:tab/>
      </w:r>
      <w:r w:rsidRPr="00FD25B5">
        <w:rPr>
          <w:rFonts w:ascii="Arial" w:hAnsi="Arial" w:cs="Arial"/>
          <w:sz w:val="22"/>
        </w:rPr>
        <w:tab/>
      </w:r>
      <w:r w:rsidRPr="00FD25B5">
        <w:rPr>
          <w:rFonts w:ascii="Arial" w:hAnsi="Arial" w:cs="Arial"/>
          <w:sz w:val="22"/>
        </w:rPr>
        <w:tab/>
      </w:r>
      <w:r w:rsidRPr="00FD25B5">
        <w:rPr>
          <w:rFonts w:ascii="Arial" w:hAnsi="Arial" w:cs="Arial"/>
          <w:sz w:val="22"/>
        </w:rPr>
        <w:tab/>
      </w:r>
      <w:r w:rsidRPr="00FD25B5">
        <w:rPr>
          <w:rFonts w:ascii="Arial" w:hAnsi="Arial" w:cs="Arial"/>
          <w:sz w:val="22"/>
        </w:rPr>
        <w:tab/>
      </w:r>
      <w:r w:rsidRPr="00FD25B5">
        <w:rPr>
          <w:rFonts w:ascii="Arial" w:hAnsi="Arial" w:cs="Arial"/>
          <w:sz w:val="22"/>
        </w:rPr>
        <w:tab/>
      </w:r>
      <w:r>
        <w:rPr>
          <w:rFonts w:ascii="Arial" w:hAnsi="Arial" w:cs="Arial"/>
          <w:sz w:val="22"/>
        </w:rPr>
        <w:tab/>
      </w:r>
      <w:r>
        <w:rPr>
          <w:rFonts w:ascii="Arial" w:hAnsi="Arial" w:cs="Arial"/>
          <w:sz w:val="22"/>
        </w:rPr>
        <w:tab/>
      </w:r>
      <w:r w:rsidRPr="00FD25B5">
        <w:rPr>
          <w:rFonts w:ascii="Arial" w:hAnsi="Arial" w:cs="Arial"/>
          <w:sz w:val="22"/>
          <w:u w:val="single"/>
        </w:rPr>
        <w:t>Zhotovitel</w:t>
      </w:r>
      <w:r w:rsidRPr="00FD25B5">
        <w:rPr>
          <w:rFonts w:ascii="Arial" w:hAnsi="Arial" w:cs="Arial"/>
          <w:sz w:val="22"/>
        </w:rPr>
        <w:t>:</w:t>
      </w:r>
      <w:r w:rsidRPr="00FD25B5">
        <w:rPr>
          <w:rFonts w:ascii="Arial" w:hAnsi="Arial" w:cs="Arial"/>
          <w:sz w:val="22"/>
        </w:rPr>
        <w:tab/>
      </w:r>
    </w:p>
    <w:p w14:paraId="27826395" w14:textId="77777777" w:rsidR="00F076F4" w:rsidRDefault="00F076F4" w:rsidP="00F076F4">
      <w:pPr>
        <w:ind w:left="0" w:firstLine="0"/>
        <w:rPr>
          <w:rFonts w:ascii="Arial" w:hAnsi="Arial" w:cs="Arial"/>
          <w:sz w:val="22"/>
        </w:rPr>
      </w:pPr>
    </w:p>
    <w:p w14:paraId="32B4FFDB" w14:textId="3F908D1D" w:rsidR="00963985" w:rsidRDefault="00963985" w:rsidP="00F076F4">
      <w:pPr>
        <w:ind w:left="0" w:firstLine="0"/>
        <w:rPr>
          <w:rFonts w:ascii="Arial" w:hAnsi="Arial" w:cs="Arial"/>
          <w:sz w:val="22"/>
        </w:rPr>
      </w:pPr>
      <w:r w:rsidRPr="00FD25B5">
        <w:rPr>
          <w:rFonts w:ascii="Arial" w:hAnsi="Arial" w:cs="Arial"/>
          <w:sz w:val="22"/>
        </w:rPr>
        <w:tab/>
      </w:r>
    </w:p>
    <w:p w14:paraId="64C8318C" w14:textId="77777777" w:rsidR="00963985" w:rsidRPr="00FD25B5" w:rsidRDefault="00963985" w:rsidP="00963985">
      <w:pPr>
        <w:rPr>
          <w:rFonts w:ascii="Arial" w:hAnsi="Arial" w:cs="Arial"/>
          <w:sz w:val="22"/>
        </w:rPr>
      </w:pPr>
    </w:p>
    <w:p w14:paraId="6F21C284" w14:textId="77777777" w:rsidR="00963985" w:rsidRPr="00FD25B5" w:rsidRDefault="00963985" w:rsidP="00963985">
      <w:pPr>
        <w:tabs>
          <w:tab w:val="center" w:pos="2410"/>
          <w:tab w:val="center" w:pos="6804"/>
        </w:tabs>
        <w:rPr>
          <w:rFonts w:ascii="Arial" w:hAnsi="Arial" w:cs="Arial"/>
          <w:sz w:val="22"/>
        </w:rPr>
      </w:pPr>
      <w:r>
        <w:rPr>
          <w:rFonts w:ascii="Arial" w:hAnsi="Arial" w:cs="Arial"/>
          <w:sz w:val="22"/>
        </w:rPr>
        <w:tab/>
      </w:r>
      <w:r w:rsidRPr="00FD25B5">
        <w:rPr>
          <w:rFonts w:ascii="Arial" w:hAnsi="Arial" w:cs="Arial"/>
          <w:sz w:val="22"/>
        </w:rPr>
        <w:t>………….......................................</w:t>
      </w:r>
      <w:r w:rsidRPr="00FD25B5">
        <w:rPr>
          <w:rFonts w:ascii="Arial" w:hAnsi="Arial" w:cs="Arial"/>
          <w:sz w:val="22"/>
        </w:rPr>
        <w:tab/>
        <w:t>………….......................................</w:t>
      </w:r>
    </w:p>
    <w:p w14:paraId="7D30290D" w14:textId="344E50E5" w:rsidR="00963985" w:rsidRDefault="00756762" w:rsidP="00963985">
      <w:pPr>
        <w:tabs>
          <w:tab w:val="center" w:pos="2410"/>
          <w:tab w:val="center" w:pos="6804"/>
        </w:tabs>
        <w:rPr>
          <w:rFonts w:ascii="Arial" w:hAnsi="Arial" w:cs="Arial"/>
          <w:sz w:val="22"/>
        </w:rPr>
      </w:pPr>
      <w:r>
        <w:rPr>
          <w:rFonts w:ascii="Arial" w:hAnsi="Arial" w:cs="Arial"/>
          <w:sz w:val="22"/>
        </w:rPr>
        <w:t xml:space="preserve">         Mgr. Michal Švarc</w:t>
      </w:r>
      <w:r w:rsidR="00963985">
        <w:rPr>
          <w:rFonts w:ascii="Arial" w:hAnsi="Arial" w:cs="Arial"/>
          <w:sz w:val="22"/>
        </w:rPr>
        <w:tab/>
        <w:t xml:space="preserve">                                                              </w:t>
      </w:r>
      <w:r w:rsidR="00C246DC">
        <w:rPr>
          <w:rFonts w:ascii="Arial" w:hAnsi="Arial" w:cs="Arial"/>
          <w:sz w:val="22"/>
        </w:rPr>
        <w:t>David Valach</w:t>
      </w:r>
    </w:p>
    <w:p w14:paraId="3BA3D587" w14:textId="5659FF6A" w:rsidR="00963985" w:rsidRDefault="00756762" w:rsidP="00963985">
      <w:pPr>
        <w:tabs>
          <w:tab w:val="center" w:pos="2410"/>
          <w:tab w:val="center" w:pos="6804"/>
        </w:tabs>
        <w:rPr>
          <w:rFonts w:ascii="Arial" w:hAnsi="Arial" w:cs="Arial"/>
          <w:sz w:val="22"/>
        </w:rPr>
      </w:pPr>
      <w:r>
        <w:rPr>
          <w:rFonts w:ascii="Arial" w:hAnsi="Arial" w:cs="Arial"/>
          <w:sz w:val="22"/>
        </w:rPr>
        <w:t xml:space="preserve">    </w:t>
      </w:r>
      <w:r w:rsidR="00963985">
        <w:rPr>
          <w:rFonts w:ascii="Arial" w:hAnsi="Arial" w:cs="Arial"/>
          <w:sz w:val="22"/>
        </w:rPr>
        <w:tab/>
      </w:r>
      <w:r>
        <w:rPr>
          <w:rFonts w:ascii="Arial" w:hAnsi="Arial" w:cs="Arial"/>
          <w:sz w:val="22"/>
        </w:rPr>
        <w:t>ředitel městské policie</w:t>
      </w:r>
      <w:r w:rsidR="00963985">
        <w:rPr>
          <w:rFonts w:ascii="Arial" w:hAnsi="Arial" w:cs="Arial"/>
          <w:sz w:val="22"/>
        </w:rPr>
        <w:t xml:space="preserve">                                                         </w:t>
      </w:r>
      <w:r w:rsidR="00C246DC">
        <w:rPr>
          <w:rFonts w:ascii="Arial" w:hAnsi="Arial" w:cs="Arial"/>
          <w:sz w:val="22"/>
        </w:rPr>
        <w:t>generální ředitel</w:t>
      </w:r>
    </w:p>
    <w:p w14:paraId="174374FC" w14:textId="12B8ED65" w:rsidR="00963985" w:rsidRDefault="00963985" w:rsidP="00963985">
      <w:pPr>
        <w:tabs>
          <w:tab w:val="center" w:pos="2410"/>
          <w:tab w:val="center" w:pos="6804"/>
        </w:tabs>
        <w:rPr>
          <w:rFonts w:ascii="Arial" w:hAnsi="Arial" w:cs="Arial"/>
          <w:sz w:val="22"/>
        </w:rPr>
      </w:pPr>
      <w:r>
        <w:rPr>
          <w:rFonts w:ascii="Arial" w:hAnsi="Arial" w:cs="Arial"/>
          <w:sz w:val="22"/>
        </w:rPr>
        <w:tab/>
      </w:r>
      <w:r>
        <w:rPr>
          <w:rFonts w:ascii="Arial" w:hAnsi="Arial" w:cs="Arial"/>
          <w:sz w:val="22"/>
        </w:rPr>
        <w:tab/>
        <w:t xml:space="preserve">                                                                                                    TELMO a.s.</w:t>
      </w:r>
    </w:p>
    <w:p w14:paraId="54CFB4AE" w14:textId="77777777" w:rsidR="00963985" w:rsidRDefault="00963985" w:rsidP="00963985">
      <w:pPr>
        <w:tabs>
          <w:tab w:val="center" w:pos="2410"/>
          <w:tab w:val="center" w:pos="6804"/>
        </w:tabs>
        <w:rPr>
          <w:rFonts w:ascii="Arial" w:hAnsi="Arial" w:cs="Arial"/>
          <w:sz w:val="22"/>
        </w:rPr>
      </w:pPr>
    </w:p>
    <w:p w14:paraId="4578AD1E" w14:textId="6133E7CD" w:rsidR="00963985" w:rsidRDefault="00963985" w:rsidP="00963985">
      <w:pPr>
        <w:tabs>
          <w:tab w:val="center" w:pos="2410"/>
          <w:tab w:val="center" w:pos="6804"/>
        </w:tabs>
        <w:rPr>
          <w:rFonts w:ascii="Arial" w:hAnsi="Arial" w:cs="Arial"/>
          <w:sz w:val="22"/>
        </w:rPr>
      </w:pPr>
      <w:r>
        <w:rPr>
          <w:rFonts w:ascii="Arial" w:hAnsi="Arial" w:cs="Arial"/>
          <w:sz w:val="22"/>
        </w:rPr>
        <w:t>………………………………………</w:t>
      </w:r>
    </w:p>
    <w:p w14:paraId="6FD8613B" w14:textId="13616C8F" w:rsidR="00963985" w:rsidRDefault="00756762" w:rsidP="00963985">
      <w:pPr>
        <w:tabs>
          <w:tab w:val="center" w:pos="2410"/>
          <w:tab w:val="center" w:pos="6804"/>
        </w:tabs>
        <w:rPr>
          <w:rFonts w:ascii="Arial" w:hAnsi="Arial" w:cs="Arial"/>
          <w:sz w:val="22"/>
        </w:rPr>
      </w:pPr>
      <w:r>
        <w:rPr>
          <w:rFonts w:ascii="Arial" w:hAnsi="Arial" w:cs="Arial"/>
          <w:sz w:val="22"/>
        </w:rPr>
        <w:t xml:space="preserve">          </w:t>
      </w:r>
      <w:r w:rsidR="00963985">
        <w:rPr>
          <w:rFonts w:ascii="Arial" w:hAnsi="Arial" w:cs="Arial"/>
          <w:sz w:val="22"/>
        </w:rPr>
        <w:t xml:space="preserve">Mgr. </w:t>
      </w:r>
      <w:r>
        <w:rPr>
          <w:rFonts w:ascii="Arial" w:hAnsi="Arial" w:cs="Arial"/>
          <w:sz w:val="22"/>
        </w:rPr>
        <w:t>Josef Penz</w:t>
      </w:r>
    </w:p>
    <w:p w14:paraId="5D2AD1B4" w14:textId="754D0D1E" w:rsidR="00963985" w:rsidRDefault="00756762" w:rsidP="00963985">
      <w:pPr>
        <w:tabs>
          <w:tab w:val="center" w:pos="2410"/>
          <w:tab w:val="center" w:pos="6804"/>
        </w:tabs>
        <w:rPr>
          <w:rFonts w:ascii="Arial" w:hAnsi="Arial" w:cs="Arial"/>
          <w:sz w:val="22"/>
        </w:rPr>
      </w:pPr>
      <w:r>
        <w:rPr>
          <w:rFonts w:ascii="Arial" w:hAnsi="Arial" w:cs="Arial"/>
          <w:sz w:val="22"/>
        </w:rPr>
        <w:t xml:space="preserve">zástupce </w:t>
      </w:r>
      <w:r w:rsidR="00963985">
        <w:rPr>
          <w:rFonts w:ascii="Arial" w:hAnsi="Arial" w:cs="Arial"/>
          <w:sz w:val="22"/>
        </w:rPr>
        <w:t>ředitel</w:t>
      </w:r>
      <w:r>
        <w:rPr>
          <w:rFonts w:ascii="Arial" w:hAnsi="Arial" w:cs="Arial"/>
          <w:sz w:val="22"/>
        </w:rPr>
        <w:t>e</w:t>
      </w:r>
      <w:r w:rsidR="00963985">
        <w:rPr>
          <w:rFonts w:ascii="Arial" w:hAnsi="Arial" w:cs="Arial"/>
          <w:sz w:val="22"/>
        </w:rPr>
        <w:t xml:space="preserve"> Městské policie</w:t>
      </w:r>
      <w:r w:rsidR="005D7B6A">
        <w:rPr>
          <w:rFonts w:ascii="Arial" w:hAnsi="Arial" w:cs="Arial"/>
          <w:sz w:val="22"/>
        </w:rPr>
        <w:t xml:space="preserve">                                              </w:t>
      </w:r>
      <w:r>
        <w:rPr>
          <w:rFonts w:ascii="Arial" w:hAnsi="Arial" w:cs="Arial"/>
          <w:sz w:val="22"/>
        </w:rPr>
        <w:t xml:space="preserve">                   </w:t>
      </w:r>
      <w:r w:rsidR="005D7B6A">
        <w:rPr>
          <w:rFonts w:ascii="Arial" w:hAnsi="Arial" w:cs="Arial"/>
          <w:sz w:val="22"/>
        </w:rPr>
        <w:t xml:space="preserve"> </w:t>
      </w:r>
      <w:r w:rsidR="005D7B6A" w:rsidRPr="005D7B6A">
        <w:rPr>
          <w:rFonts w:ascii="Arial" w:hAnsi="Arial" w:cs="Arial"/>
          <w:i/>
          <w:iCs/>
          <w:sz w:val="22"/>
        </w:rPr>
        <w:t>za věcnou správnost:</w:t>
      </w:r>
    </w:p>
    <w:p w14:paraId="76508551" w14:textId="7A131B2C" w:rsidR="005D7B6A" w:rsidRPr="005D7B6A" w:rsidRDefault="005D7B6A" w:rsidP="00963985">
      <w:pPr>
        <w:tabs>
          <w:tab w:val="center" w:pos="2410"/>
          <w:tab w:val="center" w:pos="6804"/>
        </w:tabs>
        <w:rPr>
          <w:rFonts w:ascii="Arial" w:hAnsi="Arial" w:cs="Arial"/>
          <w:i/>
          <w:iCs/>
          <w:sz w:val="22"/>
        </w:rPr>
      </w:pPr>
      <w:r>
        <w:rPr>
          <w:rFonts w:ascii="Arial" w:hAnsi="Arial" w:cs="Arial"/>
          <w:sz w:val="22"/>
        </w:rPr>
        <w:t xml:space="preserve">                                                                                  </w:t>
      </w:r>
      <w:r w:rsidR="00756762">
        <w:rPr>
          <w:rFonts w:ascii="Arial" w:hAnsi="Arial" w:cs="Arial"/>
          <w:sz w:val="22"/>
        </w:rPr>
        <w:t xml:space="preserve">                                   </w:t>
      </w:r>
      <w:r>
        <w:rPr>
          <w:rFonts w:ascii="Arial" w:hAnsi="Arial" w:cs="Arial"/>
          <w:sz w:val="22"/>
        </w:rPr>
        <w:t xml:space="preserve"> </w:t>
      </w:r>
      <w:r w:rsidRPr="005D7B6A">
        <w:rPr>
          <w:rFonts w:ascii="Arial" w:hAnsi="Arial" w:cs="Arial"/>
          <w:i/>
          <w:iCs/>
          <w:sz w:val="22"/>
        </w:rPr>
        <w:t>Bc. Tomáš Svačina</w:t>
      </w:r>
    </w:p>
    <w:bookmarkEnd w:id="4"/>
    <w:p w14:paraId="11EBB254" w14:textId="77777777" w:rsidR="00963985" w:rsidRDefault="00963985" w:rsidP="00963985">
      <w:pPr>
        <w:ind w:right="-142"/>
        <w:rPr>
          <w:rFonts w:ascii="Arial" w:hAnsi="Arial" w:cs="Arial"/>
          <w:sz w:val="22"/>
        </w:rPr>
      </w:pPr>
    </w:p>
    <w:p w14:paraId="1A24FEA2" w14:textId="77777777" w:rsidR="00963985" w:rsidRDefault="00963985" w:rsidP="00963985">
      <w:pPr>
        <w:ind w:right="-142"/>
        <w:rPr>
          <w:rFonts w:ascii="Arial" w:hAnsi="Arial" w:cs="Arial"/>
          <w:sz w:val="22"/>
        </w:rPr>
      </w:pPr>
    </w:p>
    <w:p w14:paraId="18495695" w14:textId="77777777" w:rsidR="00963985" w:rsidRPr="00892A51" w:rsidRDefault="00963985" w:rsidP="00963985">
      <w:pPr>
        <w:ind w:right="-142"/>
        <w:rPr>
          <w:rFonts w:ascii="Arial" w:hAnsi="Arial" w:cs="Arial"/>
          <w:sz w:val="22"/>
          <w:u w:val="single"/>
        </w:rPr>
      </w:pPr>
      <w:r>
        <w:rPr>
          <w:rFonts w:ascii="Arial" w:hAnsi="Arial" w:cs="Arial"/>
          <w:sz w:val="22"/>
          <w:u w:val="single"/>
        </w:rPr>
        <w:t>P</w:t>
      </w:r>
      <w:r w:rsidRPr="00892A51">
        <w:rPr>
          <w:rFonts w:ascii="Arial" w:hAnsi="Arial" w:cs="Arial"/>
          <w:sz w:val="22"/>
          <w:u w:val="single"/>
        </w:rPr>
        <w:t>říloha:</w:t>
      </w:r>
    </w:p>
    <w:p w14:paraId="508B61C7" w14:textId="459CFADC" w:rsidR="00963985" w:rsidRDefault="00963985" w:rsidP="00963985">
      <w:pPr>
        <w:numPr>
          <w:ilvl w:val="0"/>
          <w:numId w:val="8"/>
        </w:numPr>
        <w:tabs>
          <w:tab w:val="num" w:pos="426"/>
        </w:tabs>
        <w:spacing w:after="0" w:line="240" w:lineRule="auto"/>
        <w:ind w:left="0" w:right="-142" w:firstLine="0"/>
        <w:rPr>
          <w:rFonts w:ascii="Arial" w:hAnsi="Arial" w:cs="Arial"/>
          <w:sz w:val="22"/>
        </w:rPr>
      </w:pPr>
      <w:r>
        <w:rPr>
          <w:rFonts w:ascii="Arial" w:hAnsi="Arial" w:cs="Arial"/>
          <w:sz w:val="22"/>
        </w:rPr>
        <w:t>Příloha č. 1 – Cenová nabídka opravy kamerového serveru</w:t>
      </w:r>
    </w:p>
    <w:p w14:paraId="5BA9F5DF" w14:textId="77777777" w:rsidR="00963985" w:rsidRDefault="00963985" w:rsidP="00963985">
      <w:pPr>
        <w:spacing w:after="0" w:line="240" w:lineRule="auto"/>
        <w:ind w:left="0" w:right="-142" w:firstLine="0"/>
        <w:rPr>
          <w:rFonts w:ascii="Arial" w:hAnsi="Arial" w:cs="Arial"/>
          <w:sz w:val="22"/>
        </w:rPr>
      </w:pPr>
    </w:p>
    <w:p w14:paraId="183DF8A9" w14:textId="77777777" w:rsidR="00963985" w:rsidRDefault="00963985" w:rsidP="00963985">
      <w:pPr>
        <w:spacing w:after="0" w:line="240" w:lineRule="auto"/>
        <w:ind w:left="0" w:right="-142" w:firstLine="0"/>
        <w:rPr>
          <w:rFonts w:ascii="Arial" w:hAnsi="Arial" w:cs="Arial"/>
          <w:sz w:val="22"/>
        </w:rPr>
      </w:pPr>
    </w:p>
    <w:p w14:paraId="6FC44A1C" w14:textId="77777777" w:rsidR="00963985" w:rsidRDefault="00963985" w:rsidP="00963985">
      <w:pPr>
        <w:spacing w:after="0" w:line="240" w:lineRule="auto"/>
        <w:ind w:left="0" w:right="-142" w:firstLine="0"/>
        <w:rPr>
          <w:rFonts w:ascii="Arial" w:hAnsi="Arial" w:cs="Arial"/>
          <w:sz w:val="22"/>
        </w:rPr>
      </w:pPr>
    </w:p>
    <w:p w14:paraId="70E75F91" w14:textId="77777777" w:rsidR="00963985" w:rsidRDefault="00963985" w:rsidP="00963985">
      <w:pPr>
        <w:spacing w:after="0" w:line="240" w:lineRule="auto"/>
        <w:ind w:left="0" w:right="-142" w:firstLine="0"/>
        <w:rPr>
          <w:rFonts w:ascii="Arial" w:hAnsi="Arial" w:cs="Arial"/>
          <w:sz w:val="22"/>
        </w:rPr>
      </w:pPr>
    </w:p>
    <w:p w14:paraId="7329B574" w14:textId="362332BA" w:rsidR="00963985" w:rsidRDefault="00963985" w:rsidP="00963985">
      <w:pPr>
        <w:spacing w:after="0" w:line="240" w:lineRule="auto"/>
        <w:ind w:left="0" w:right="-142" w:firstLine="0"/>
        <w:rPr>
          <w:rFonts w:ascii="Arial" w:hAnsi="Arial" w:cs="Arial"/>
          <w:sz w:val="22"/>
        </w:rPr>
      </w:pPr>
      <w:r>
        <w:rPr>
          <w:rFonts w:ascii="Arial" w:hAnsi="Arial" w:cs="Arial"/>
          <w:sz w:val="22"/>
        </w:rPr>
        <w:t>Příloha č.1</w:t>
      </w:r>
    </w:p>
    <w:p w14:paraId="4DB0DE6C" w14:textId="77777777" w:rsidR="00963985" w:rsidRDefault="00963985" w:rsidP="00963985">
      <w:pPr>
        <w:spacing w:after="0" w:line="240" w:lineRule="auto"/>
        <w:ind w:left="0" w:right="-142" w:firstLine="0"/>
        <w:rPr>
          <w:rFonts w:ascii="Arial" w:hAnsi="Arial" w:cs="Arial"/>
          <w:sz w:val="22"/>
        </w:rPr>
      </w:pPr>
    </w:p>
    <w:tbl>
      <w:tblPr>
        <w:tblW w:w="9926"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63"/>
        <w:gridCol w:w="3402"/>
        <w:gridCol w:w="985"/>
        <w:gridCol w:w="799"/>
        <w:gridCol w:w="1559"/>
        <w:gridCol w:w="2418"/>
      </w:tblGrid>
      <w:tr w:rsidR="00963985" w:rsidRPr="00963985" w14:paraId="2407211B" w14:textId="77777777" w:rsidTr="00C246DC">
        <w:trPr>
          <w:trHeight w:val="348"/>
        </w:trPr>
        <w:tc>
          <w:tcPr>
            <w:tcW w:w="763" w:type="dxa"/>
            <w:shd w:val="clear" w:color="auto" w:fill="auto"/>
            <w:noWrap/>
            <w:vAlign w:val="center"/>
            <w:hideMark/>
          </w:tcPr>
          <w:p w14:paraId="480D7116"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color w:val="auto"/>
                <w:kern w:val="0"/>
                <w:sz w:val="20"/>
                <w:szCs w:val="20"/>
                <w14:ligatures w14:val="none"/>
              </w:rPr>
            </w:pPr>
            <w:r w:rsidRPr="00963985">
              <w:rPr>
                <w:rFonts w:ascii="Times New Roman" w:eastAsia="Times New Roman" w:hAnsi="Times New Roman" w:cs="Times New Roman"/>
                <w:b/>
                <w:bCs/>
                <w:color w:val="auto"/>
                <w:kern w:val="0"/>
                <w:sz w:val="20"/>
                <w:szCs w:val="20"/>
                <w14:ligatures w14:val="none"/>
              </w:rPr>
              <w:t>Akce:</w:t>
            </w:r>
          </w:p>
        </w:tc>
        <w:tc>
          <w:tcPr>
            <w:tcW w:w="9163" w:type="dxa"/>
            <w:gridSpan w:val="5"/>
            <w:shd w:val="clear" w:color="auto" w:fill="auto"/>
            <w:vAlign w:val="center"/>
            <w:hideMark/>
          </w:tcPr>
          <w:p w14:paraId="46B83647"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color w:val="auto"/>
                <w:kern w:val="0"/>
                <w:sz w:val="20"/>
                <w:szCs w:val="20"/>
                <w14:ligatures w14:val="none"/>
              </w:rPr>
            </w:pPr>
            <w:r w:rsidRPr="00963985">
              <w:rPr>
                <w:rFonts w:ascii="Times New Roman CE" w:eastAsia="Times New Roman" w:hAnsi="Times New Roman CE" w:cs="Times New Roman"/>
                <w:b/>
                <w:bCs/>
                <w:color w:val="auto"/>
                <w:kern w:val="0"/>
                <w:sz w:val="20"/>
                <w:szCs w:val="20"/>
                <w14:ligatures w14:val="none"/>
              </w:rPr>
              <w:t>Statutární město Jablonec nad Nisou</w:t>
            </w:r>
          </w:p>
        </w:tc>
      </w:tr>
      <w:tr w:rsidR="00963985" w:rsidRPr="00963985" w14:paraId="18C20B17" w14:textId="77777777" w:rsidTr="00C246DC">
        <w:trPr>
          <w:trHeight w:val="329"/>
        </w:trPr>
        <w:tc>
          <w:tcPr>
            <w:tcW w:w="9926" w:type="dxa"/>
            <w:gridSpan w:val="6"/>
            <w:shd w:val="clear" w:color="auto" w:fill="auto"/>
            <w:noWrap/>
            <w:hideMark/>
          </w:tcPr>
          <w:p w14:paraId="408DBE15" w14:textId="77777777" w:rsidR="00963985" w:rsidRPr="00963985" w:rsidRDefault="00963985" w:rsidP="00963985">
            <w:pPr>
              <w:spacing w:after="0" w:line="240" w:lineRule="auto"/>
              <w:ind w:left="0" w:firstLine="0"/>
              <w:jc w:val="left"/>
              <w:rPr>
                <w:rFonts w:ascii="Times New Roman CE" w:eastAsia="Times New Roman" w:hAnsi="Times New Roman CE" w:cs="Times New Roman"/>
                <w:color w:val="auto"/>
                <w:kern w:val="0"/>
                <w:sz w:val="20"/>
                <w:szCs w:val="20"/>
                <w14:ligatures w14:val="none"/>
              </w:rPr>
            </w:pPr>
            <w:r w:rsidRPr="00963985">
              <w:rPr>
                <w:rFonts w:ascii="Times New Roman CE" w:eastAsia="Times New Roman" w:hAnsi="Times New Roman CE" w:cs="Times New Roman"/>
                <w:color w:val="auto"/>
                <w:kern w:val="0"/>
                <w:sz w:val="20"/>
                <w:szCs w:val="20"/>
                <w14:ligatures w14:val="none"/>
              </w:rPr>
              <w:t> </w:t>
            </w:r>
          </w:p>
        </w:tc>
      </w:tr>
      <w:tr w:rsidR="00963985" w:rsidRPr="00963985" w14:paraId="0FAF3C45" w14:textId="77777777" w:rsidTr="00C246DC">
        <w:trPr>
          <w:trHeight w:val="1162"/>
        </w:trPr>
        <w:tc>
          <w:tcPr>
            <w:tcW w:w="763" w:type="dxa"/>
            <w:shd w:val="clear" w:color="auto" w:fill="auto"/>
            <w:vAlign w:val="center"/>
            <w:hideMark/>
          </w:tcPr>
          <w:p w14:paraId="67303490"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Pol.</w:t>
            </w:r>
          </w:p>
        </w:tc>
        <w:tc>
          <w:tcPr>
            <w:tcW w:w="3402" w:type="dxa"/>
            <w:shd w:val="clear" w:color="auto" w:fill="auto"/>
            <w:vAlign w:val="center"/>
            <w:hideMark/>
          </w:tcPr>
          <w:p w14:paraId="3F5D75E5"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i/>
                <w:iCs/>
                <w:color w:val="auto"/>
                <w:kern w:val="0"/>
                <w:sz w:val="22"/>
                <w14:ligatures w14:val="none"/>
              </w:rPr>
            </w:pPr>
            <w:r w:rsidRPr="00963985">
              <w:rPr>
                <w:rFonts w:ascii="Times New Roman" w:eastAsia="Times New Roman" w:hAnsi="Times New Roman" w:cs="Times New Roman"/>
                <w:b/>
                <w:bCs/>
                <w:i/>
                <w:iCs/>
                <w:color w:val="auto"/>
                <w:kern w:val="0"/>
                <w:sz w:val="22"/>
                <w14:ligatures w14:val="none"/>
              </w:rPr>
              <w:t>Předmět dodávky: Oprava kamerového serveru výměnou a instalace pro MKDS včetně uložiště</w:t>
            </w:r>
          </w:p>
        </w:tc>
        <w:tc>
          <w:tcPr>
            <w:tcW w:w="985" w:type="dxa"/>
            <w:shd w:val="clear" w:color="auto" w:fill="auto"/>
            <w:vAlign w:val="center"/>
            <w:hideMark/>
          </w:tcPr>
          <w:p w14:paraId="7F809626"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Typ. označení / poznámka</w:t>
            </w:r>
          </w:p>
        </w:tc>
        <w:tc>
          <w:tcPr>
            <w:tcW w:w="799" w:type="dxa"/>
            <w:shd w:val="clear" w:color="auto" w:fill="auto"/>
            <w:vAlign w:val="center"/>
            <w:hideMark/>
          </w:tcPr>
          <w:p w14:paraId="030D2658"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ks/m</w:t>
            </w:r>
          </w:p>
        </w:tc>
        <w:tc>
          <w:tcPr>
            <w:tcW w:w="1559" w:type="dxa"/>
            <w:shd w:val="clear" w:color="auto" w:fill="auto"/>
            <w:vAlign w:val="center"/>
            <w:hideMark/>
          </w:tcPr>
          <w:p w14:paraId="2A84BF3C"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 xml:space="preserve"> Jednotková cena </w:t>
            </w:r>
          </w:p>
        </w:tc>
        <w:tc>
          <w:tcPr>
            <w:tcW w:w="2418" w:type="dxa"/>
            <w:shd w:val="clear" w:color="auto" w:fill="auto"/>
            <w:vAlign w:val="center"/>
            <w:hideMark/>
          </w:tcPr>
          <w:p w14:paraId="41A91C4B"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 xml:space="preserve"> Cena celkem                                    bez DPH Kč: </w:t>
            </w:r>
          </w:p>
        </w:tc>
      </w:tr>
      <w:tr w:rsidR="00963985" w:rsidRPr="00963985" w14:paraId="5359D319" w14:textId="77777777" w:rsidTr="00C246DC">
        <w:trPr>
          <w:trHeight w:val="348"/>
        </w:trPr>
        <w:tc>
          <w:tcPr>
            <w:tcW w:w="9926" w:type="dxa"/>
            <w:gridSpan w:val="6"/>
            <w:shd w:val="clear" w:color="auto" w:fill="auto"/>
            <w:hideMark/>
          </w:tcPr>
          <w:p w14:paraId="50A7E06F"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i/>
                <w:iCs/>
                <w:color w:val="FF0000"/>
                <w:kern w:val="0"/>
                <w:sz w:val="20"/>
                <w:szCs w:val="20"/>
                <w14:ligatures w14:val="none"/>
              </w:rPr>
            </w:pPr>
            <w:r w:rsidRPr="00963985">
              <w:rPr>
                <w:rFonts w:ascii="Times New Roman CE" w:eastAsia="Times New Roman" w:hAnsi="Times New Roman CE" w:cs="Times New Roman"/>
                <w:b/>
                <w:bCs/>
                <w:i/>
                <w:iCs/>
                <w:color w:val="FF0000"/>
                <w:kern w:val="0"/>
                <w:sz w:val="20"/>
                <w:szCs w:val="20"/>
                <w14:ligatures w14:val="none"/>
              </w:rPr>
              <w:t> </w:t>
            </w:r>
          </w:p>
        </w:tc>
      </w:tr>
      <w:tr w:rsidR="00963985" w:rsidRPr="00963985" w14:paraId="14FB5F15" w14:textId="77777777" w:rsidTr="00C246DC">
        <w:trPr>
          <w:trHeight w:val="387"/>
        </w:trPr>
        <w:tc>
          <w:tcPr>
            <w:tcW w:w="9926" w:type="dxa"/>
            <w:gridSpan w:val="6"/>
            <w:shd w:val="clear" w:color="000000" w:fill="C0C0C0"/>
            <w:noWrap/>
            <w:hideMark/>
          </w:tcPr>
          <w:p w14:paraId="38043894"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i/>
                <w:iCs/>
                <w:color w:val="auto"/>
                <w:kern w:val="0"/>
                <w:sz w:val="22"/>
                <w14:ligatures w14:val="none"/>
              </w:rPr>
            </w:pPr>
            <w:r w:rsidRPr="00963985">
              <w:rPr>
                <w:rFonts w:ascii="Times New Roman CE" w:eastAsia="Times New Roman" w:hAnsi="Times New Roman CE" w:cs="Times New Roman"/>
                <w:b/>
                <w:bCs/>
                <w:i/>
                <w:iCs/>
                <w:color w:val="auto"/>
                <w:kern w:val="0"/>
                <w:sz w:val="22"/>
                <w14:ligatures w14:val="none"/>
              </w:rPr>
              <w:t> </w:t>
            </w:r>
          </w:p>
        </w:tc>
      </w:tr>
      <w:tr w:rsidR="00963985" w:rsidRPr="00963985" w14:paraId="3824FF88" w14:textId="77777777" w:rsidTr="00C246DC">
        <w:trPr>
          <w:trHeight w:val="387"/>
        </w:trPr>
        <w:tc>
          <w:tcPr>
            <w:tcW w:w="763" w:type="dxa"/>
            <w:shd w:val="clear" w:color="000000" w:fill="FFFFFF"/>
            <w:noWrap/>
            <w:hideMark/>
          </w:tcPr>
          <w:p w14:paraId="0A7B6FE4"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i/>
                <w:iCs/>
                <w:color w:val="auto"/>
                <w:kern w:val="0"/>
                <w:sz w:val="22"/>
                <w14:ligatures w14:val="none"/>
              </w:rPr>
            </w:pPr>
            <w:r w:rsidRPr="00963985">
              <w:rPr>
                <w:rFonts w:ascii="Times New Roman" w:eastAsia="Times New Roman" w:hAnsi="Times New Roman" w:cs="Times New Roman"/>
                <w:b/>
                <w:bCs/>
                <w:i/>
                <w:iCs/>
                <w:color w:val="auto"/>
                <w:kern w:val="0"/>
                <w:sz w:val="22"/>
                <w14:ligatures w14:val="none"/>
              </w:rPr>
              <w:t> </w:t>
            </w:r>
          </w:p>
        </w:tc>
        <w:tc>
          <w:tcPr>
            <w:tcW w:w="3402" w:type="dxa"/>
            <w:shd w:val="clear" w:color="auto" w:fill="auto"/>
            <w:noWrap/>
            <w:hideMark/>
          </w:tcPr>
          <w:p w14:paraId="3C80275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2"/>
                <w14:ligatures w14:val="none"/>
              </w:rPr>
            </w:pPr>
            <w:r w:rsidRPr="00963985">
              <w:rPr>
                <w:rFonts w:ascii="Times New Roman" w:eastAsia="Times New Roman" w:hAnsi="Times New Roman" w:cs="Times New Roman"/>
                <w:color w:val="auto"/>
                <w:kern w:val="0"/>
                <w:sz w:val="22"/>
                <w14:ligatures w14:val="none"/>
              </w:rPr>
              <w:t> </w:t>
            </w:r>
          </w:p>
        </w:tc>
        <w:tc>
          <w:tcPr>
            <w:tcW w:w="985" w:type="dxa"/>
            <w:shd w:val="clear" w:color="auto" w:fill="auto"/>
            <w:noWrap/>
            <w:hideMark/>
          </w:tcPr>
          <w:p w14:paraId="1B720036"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2"/>
                <w14:ligatures w14:val="none"/>
              </w:rPr>
            </w:pPr>
            <w:r w:rsidRPr="00963985">
              <w:rPr>
                <w:rFonts w:ascii="Times New Roman" w:eastAsia="Times New Roman" w:hAnsi="Times New Roman" w:cs="Times New Roman"/>
                <w:color w:val="auto"/>
                <w:kern w:val="0"/>
                <w:sz w:val="22"/>
                <w14:ligatures w14:val="none"/>
              </w:rPr>
              <w:t> </w:t>
            </w:r>
          </w:p>
        </w:tc>
        <w:tc>
          <w:tcPr>
            <w:tcW w:w="799" w:type="dxa"/>
            <w:shd w:val="clear" w:color="auto" w:fill="auto"/>
            <w:noWrap/>
            <w:hideMark/>
          </w:tcPr>
          <w:p w14:paraId="7F7ED5A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2"/>
                <w14:ligatures w14:val="none"/>
              </w:rPr>
            </w:pPr>
            <w:r w:rsidRPr="00963985">
              <w:rPr>
                <w:rFonts w:ascii="Times New Roman" w:eastAsia="Times New Roman" w:hAnsi="Times New Roman" w:cs="Times New Roman"/>
                <w:color w:val="auto"/>
                <w:kern w:val="0"/>
                <w:sz w:val="22"/>
                <w14:ligatures w14:val="none"/>
              </w:rPr>
              <w:t> </w:t>
            </w:r>
          </w:p>
        </w:tc>
        <w:tc>
          <w:tcPr>
            <w:tcW w:w="1559" w:type="dxa"/>
            <w:shd w:val="clear" w:color="auto" w:fill="auto"/>
            <w:noWrap/>
            <w:hideMark/>
          </w:tcPr>
          <w:p w14:paraId="3FD77728"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2"/>
                <w14:ligatures w14:val="none"/>
              </w:rPr>
            </w:pPr>
            <w:r w:rsidRPr="00963985">
              <w:rPr>
                <w:rFonts w:ascii="Times New Roman" w:eastAsia="Times New Roman" w:hAnsi="Times New Roman" w:cs="Times New Roman"/>
                <w:color w:val="auto"/>
                <w:kern w:val="0"/>
                <w:sz w:val="22"/>
                <w14:ligatures w14:val="none"/>
              </w:rPr>
              <w:t> </w:t>
            </w:r>
          </w:p>
        </w:tc>
        <w:tc>
          <w:tcPr>
            <w:tcW w:w="2418" w:type="dxa"/>
            <w:shd w:val="clear" w:color="auto" w:fill="auto"/>
            <w:noWrap/>
            <w:hideMark/>
          </w:tcPr>
          <w:p w14:paraId="48030D60"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2"/>
                <w14:ligatures w14:val="none"/>
              </w:rPr>
            </w:pPr>
            <w:r w:rsidRPr="00963985">
              <w:rPr>
                <w:rFonts w:ascii="Times New Roman" w:eastAsia="Times New Roman" w:hAnsi="Times New Roman" w:cs="Times New Roman"/>
                <w:color w:val="auto"/>
                <w:kern w:val="0"/>
                <w:sz w:val="22"/>
                <w14:ligatures w14:val="none"/>
              </w:rPr>
              <w:t> </w:t>
            </w:r>
          </w:p>
        </w:tc>
      </w:tr>
      <w:tr w:rsidR="00963985" w:rsidRPr="00963985" w14:paraId="70542B37" w14:textId="77777777" w:rsidTr="00C246DC">
        <w:trPr>
          <w:trHeight w:val="329"/>
        </w:trPr>
        <w:tc>
          <w:tcPr>
            <w:tcW w:w="763" w:type="dxa"/>
            <w:shd w:val="clear" w:color="000000" w:fill="D9D9D9"/>
            <w:noWrap/>
            <w:hideMark/>
          </w:tcPr>
          <w:p w14:paraId="7E6BCE35"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w:t>
            </w:r>
          </w:p>
        </w:tc>
        <w:tc>
          <w:tcPr>
            <w:tcW w:w="3402" w:type="dxa"/>
            <w:shd w:val="clear" w:color="000000" w:fill="D9D9D9"/>
            <w:noWrap/>
            <w:hideMark/>
          </w:tcPr>
          <w:p w14:paraId="08D2C43D" w14:textId="77777777" w:rsidR="00963985" w:rsidRPr="00963985" w:rsidRDefault="00963985" w:rsidP="00963985">
            <w:pPr>
              <w:spacing w:after="0" w:line="240" w:lineRule="auto"/>
              <w:ind w:left="0" w:firstLine="0"/>
              <w:jc w:val="left"/>
              <w:rPr>
                <w:rFonts w:ascii="Arial CE" w:eastAsia="Times New Roman" w:hAnsi="Arial CE" w:cs="Times New Roman"/>
                <w:color w:val="auto"/>
                <w:kern w:val="0"/>
                <w:sz w:val="20"/>
                <w:szCs w:val="20"/>
                <w14:ligatures w14:val="none"/>
              </w:rPr>
            </w:pPr>
            <w:r w:rsidRPr="00963985">
              <w:rPr>
                <w:rFonts w:ascii="Arial CE" w:eastAsia="Times New Roman" w:hAnsi="Arial CE" w:cs="Times New Roman"/>
                <w:color w:val="auto"/>
                <w:kern w:val="0"/>
                <w:sz w:val="20"/>
                <w:szCs w:val="20"/>
                <w14:ligatures w14:val="none"/>
              </w:rPr>
              <w:t> </w:t>
            </w:r>
          </w:p>
        </w:tc>
        <w:tc>
          <w:tcPr>
            <w:tcW w:w="985" w:type="dxa"/>
            <w:shd w:val="clear" w:color="000000" w:fill="D9D9D9"/>
            <w:noWrap/>
            <w:hideMark/>
          </w:tcPr>
          <w:p w14:paraId="18BF0ABD" w14:textId="77777777" w:rsidR="00963985" w:rsidRPr="00963985" w:rsidRDefault="00963985" w:rsidP="00963985">
            <w:pPr>
              <w:spacing w:after="0" w:line="240" w:lineRule="auto"/>
              <w:ind w:left="0" w:firstLine="0"/>
              <w:jc w:val="left"/>
              <w:rPr>
                <w:rFonts w:ascii="Arial CE" w:eastAsia="Times New Roman" w:hAnsi="Arial CE" w:cs="Times New Roman"/>
                <w:color w:val="auto"/>
                <w:kern w:val="0"/>
                <w:sz w:val="20"/>
                <w:szCs w:val="20"/>
                <w14:ligatures w14:val="none"/>
              </w:rPr>
            </w:pPr>
            <w:r w:rsidRPr="00963985">
              <w:rPr>
                <w:rFonts w:ascii="Arial CE" w:eastAsia="Times New Roman" w:hAnsi="Arial CE" w:cs="Times New Roman"/>
                <w:color w:val="auto"/>
                <w:kern w:val="0"/>
                <w:sz w:val="20"/>
                <w:szCs w:val="20"/>
                <w14:ligatures w14:val="none"/>
              </w:rPr>
              <w:t> </w:t>
            </w:r>
          </w:p>
        </w:tc>
        <w:tc>
          <w:tcPr>
            <w:tcW w:w="799" w:type="dxa"/>
            <w:shd w:val="clear" w:color="000000" w:fill="D9D9D9"/>
            <w:noWrap/>
            <w:hideMark/>
          </w:tcPr>
          <w:p w14:paraId="740BBF70" w14:textId="77777777" w:rsidR="00963985" w:rsidRPr="00963985" w:rsidRDefault="00963985" w:rsidP="00963985">
            <w:pPr>
              <w:spacing w:after="0" w:line="240" w:lineRule="auto"/>
              <w:ind w:left="0" w:firstLine="0"/>
              <w:jc w:val="left"/>
              <w:rPr>
                <w:rFonts w:ascii="Arial CE" w:eastAsia="Times New Roman" w:hAnsi="Arial CE" w:cs="Times New Roman"/>
                <w:color w:val="auto"/>
                <w:kern w:val="0"/>
                <w:sz w:val="20"/>
                <w:szCs w:val="20"/>
                <w14:ligatures w14:val="none"/>
              </w:rPr>
            </w:pPr>
            <w:r w:rsidRPr="00963985">
              <w:rPr>
                <w:rFonts w:ascii="Arial CE" w:eastAsia="Times New Roman" w:hAnsi="Arial CE" w:cs="Times New Roman"/>
                <w:color w:val="auto"/>
                <w:kern w:val="0"/>
                <w:sz w:val="20"/>
                <w:szCs w:val="20"/>
                <w14:ligatures w14:val="none"/>
              </w:rPr>
              <w:t> </w:t>
            </w:r>
          </w:p>
        </w:tc>
        <w:tc>
          <w:tcPr>
            <w:tcW w:w="1559" w:type="dxa"/>
            <w:shd w:val="clear" w:color="000000" w:fill="D9D9D9"/>
            <w:noWrap/>
            <w:hideMark/>
          </w:tcPr>
          <w:p w14:paraId="01BC102C" w14:textId="77777777" w:rsidR="00963985" w:rsidRPr="00963985" w:rsidRDefault="00963985" w:rsidP="00963985">
            <w:pPr>
              <w:spacing w:after="0" w:line="240" w:lineRule="auto"/>
              <w:ind w:left="0" w:firstLine="0"/>
              <w:jc w:val="left"/>
              <w:rPr>
                <w:rFonts w:ascii="Arial CE" w:eastAsia="Times New Roman" w:hAnsi="Arial CE" w:cs="Times New Roman"/>
                <w:color w:val="auto"/>
                <w:kern w:val="0"/>
                <w:sz w:val="20"/>
                <w:szCs w:val="20"/>
                <w14:ligatures w14:val="none"/>
              </w:rPr>
            </w:pPr>
            <w:r w:rsidRPr="00963985">
              <w:rPr>
                <w:rFonts w:ascii="Arial CE" w:eastAsia="Times New Roman" w:hAnsi="Arial CE" w:cs="Times New Roman"/>
                <w:color w:val="auto"/>
                <w:kern w:val="0"/>
                <w:sz w:val="20"/>
                <w:szCs w:val="20"/>
                <w14:ligatures w14:val="none"/>
              </w:rPr>
              <w:t> </w:t>
            </w:r>
          </w:p>
        </w:tc>
        <w:tc>
          <w:tcPr>
            <w:tcW w:w="2418" w:type="dxa"/>
            <w:shd w:val="clear" w:color="000000" w:fill="D9D9D9"/>
            <w:noWrap/>
            <w:hideMark/>
          </w:tcPr>
          <w:p w14:paraId="26C50B6D" w14:textId="77777777" w:rsidR="00963985" w:rsidRPr="00963985" w:rsidRDefault="00963985" w:rsidP="00963985">
            <w:pPr>
              <w:spacing w:after="0" w:line="240" w:lineRule="auto"/>
              <w:ind w:left="0" w:firstLine="0"/>
              <w:jc w:val="left"/>
              <w:rPr>
                <w:rFonts w:ascii="Arial CE" w:eastAsia="Times New Roman" w:hAnsi="Arial CE" w:cs="Times New Roman"/>
                <w:color w:val="auto"/>
                <w:kern w:val="0"/>
                <w:sz w:val="20"/>
                <w:szCs w:val="20"/>
                <w14:ligatures w14:val="none"/>
              </w:rPr>
            </w:pPr>
            <w:r w:rsidRPr="00963985">
              <w:rPr>
                <w:rFonts w:ascii="Arial CE" w:eastAsia="Times New Roman" w:hAnsi="Arial CE" w:cs="Times New Roman"/>
                <w:color w:val="auto"/>
                <w:kern w:val="0"/>
                <w:sz w:val="20"/>
                <w:szCs w:val="20"/>
                <w14:ligatures w14:val="none"/>
              </w:rPr>
              <w:t> </w:t>
            </w:r>
          </w:p>
        </w:tc>
      </w:tr>
      <w:tr w:rsidR="00963985" w:rsidRPr="00963985" w14:paraId="016461F7" w14:textId="77777777" w:rsidTr="00C246DC">
        <w:trPr>
          <w:trHeight w:val="348"/>
        </w:trPr>
        <w:tc>
          <w:tcPr>
            <w:tcW w:w="9926" w:type="dxa"/>
            <w:gridSpan w:val="6"/>
            <w:shd w:val="clear" w:color="000000" w:fill="C0C0C0"/>
            <w:noWrap/>
            <w:hideMark/>
          </w:tcPr>
          <w:p w14:paraId="680ACCEC"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i/>
                <w:iCs/>
                <w:color w:val="auto"/>
                <w:kern w:val="0"/>
                <w:sz w:val="20"/>
                <w:szCs w:val="20"/>
                <w14:ligatures w14:val="none"/>
              </w:rPr>
            </w:pPr>
            <w:r w:rsidRPr="00963985">
              <w:rPr>
                <w:rFonts w:ascii="Times New Roman CE" w:eastAsia="Times New Roman" w:hAnsi="Times New Roman CE" w:cs="Times New Roman"/>
                <w:b/>
                <w:bCs/>
                <w:i/>
                <w:iCs/>
                <w:color w:val="auto"/>
                <w:kern w:val="0"/>
                <w:sz w:val="20"/>
                <w:szCs w:val="20"/>
                <w14:ligatures w14:val="none"/>
              </w:rPr>
              <w:t>Materiál</w:t>
            </w:r>
          </w:p>
        </w:tc>
      </w:tr>
      <w:tr w:rsidR="00963985" w:rsidRPr="00963985" w14:paraId="455CEDC9" w14:textId="77777777" w:rsidTr="00C246DC">
        <w:trPr>
          <w:trHeight w:val="659"/>
        </w:trPr>
        <w:tc>
          <w:tcPr>
            <w:tcW w:w="763" w:type="dxa"/>
            <w:shd w:val="clear" w:color="auto" w:fill="auto"/>
            <w:noWrap/>
            <w:hideMark/>
          </w:tcPr>
          <w:p w14:paraId="030EE73F"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1</w:t>
            </w:r>
          </w:p>
        </w:tc>
        <w:tc>
          <w:tcPr>
            <w:tcW w:w="3402" w:type="dxa"/>
            <w:shd w:val="clear" w:color="auto" w:fill="auto"/>
            <w:hideMark/>
          </w:tcPr>
          <w:p w14:paraId="6DCA1D4C"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Server Dell </w:t>
            </w:r>
            <w:proofErr w:type="spellStart"/>
            <w:r w:rsidRPr="00963985">
              <w:rPr>
                <w:rFonts w:ascii="Times New Roman" w:eastAsia="Times New Roman" w:hAnsi="Times New Roman" w:cs="Times New Roman"/>
                <w:color w:val="auto"/>
                <w:kern w:val="0"/>
                <w:sz w:val="20"/>
                <w:szCs w:val="20"/>
                <w14:ligatures w14:val="none"/>
              </w:rPr>
              <w:t>PowerEdge</w:t>
            </w:r>
            <w:proofErr w:type="spellEnd"/>
            <w:r w:rsidRPr="00963985">
              <w:rPr>
                <w:rFonts w:ascii="Times New Roman" w:eastAsia="Times New Roman" w:hAnsi="Times New Roman" w:cs="Times New Roman"/>
                <w:color w:val="auto"/>
                <w:kern w:val="0"/>
                <w:sz w:val="20"/>
                <w:szCs w:val="20"/>
                <w14:ligatures w14:val="none"/>
              </w:rPr>
              <w:t xml:space="preserve"> R350 E-2334/16GB/2x480GBSSD/2NBD Basic 2x 700W</w:t>
            </w:r>
          </w:p>
        </w:tc>
        <w:tc>
          <w:tcPr>
            <w:tcW w:w="985" w:type="dxa"/>
            <w:shd w:val="clear" w:color="auto" w:fill="auto"/>
            <w:noWrap/>
            <w:hideMark/>
          </w:tcPr>
          <w:p w14:paraId="7DD2E7E6"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1F175AD1"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5E03CBEE"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49 757,00 Kč</w:t>
            </w:r>
          </w:p>
        </w:tc>
        <w:tc>
          <w:tcPr>
            <w:tcW w:w="2418" w:type="dxa"/>
            <w:shd w:val="clear" w:color="auto" w:fill="auto"/>
            <w:noWrap/>
            <w:hideMark/>
          </w:tcPr>
          <w:p w14:paraId="52B358A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49 757,00 Kč </w:t>
            </w:r>
          </w:p>
        </w:tc>
      </w:tr>
      <w:tr w:rsidR="00963985" w:rsidRPr="00963985" w14:paraId="780B2DFD" w14:textId="77777777" w:rsidTr="00C246DC">
        <w:trPr>
          <w:trHeight w:val="348"/>
        </w:trPr>
        <w:tc>
          <w:tcPr>
            <w:tcW w:w="763" w:type="dxa"/>
            <w:shd w:val="clear" w:color="auto" w:fill="auto"/>
            <w:noWrap/>
            <w:hideMark/>
          </w:tcPr>
          <w:p w14:paraId="191B202C"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2</w:t>
            </w:r>
          </w:p>
        </w:tc>
        <w:tc>
          <w:tcPr>
            <w:tcW w:w="3402" w:type="dxa"/>
            <w:shd w:val="clear" w:color="auto" w:fill="auto"/>
            <w:hideMark/>
          </w:tcPr>
          <w:p w14:paraId="40ADFDE5"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OS Windows server 2022 standart</w:t>
            </w:r>
          </w:p>
        </w:tc>
        <w:tc>
          <w:tcPr>
            <w:tcW w:w="985" w:type="dxa"/>
            <w:shd w:val="clear" w:color="auto" w:fill="auto"/>
            <w:noWrap/>
            <w:hideMark/>
          </w:tcPr>
          <w:p w14:paraId="6DF1FFB9"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77EC4B9F"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3F1E16DC"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21 448,00 Kč</w:t>
            </w:r>
          </w:p>
        </w:tc>
        <w:tc>
          <w:tcPr>
            <w:tcW w:w="2418" w:type="dxa"/>
            <w:shd w:val="clear" w:color="auto" w:fill="auto"/>
            <w:noWrap/>
            <w:hideMark/>
          </w:tcPr>
          <w:p w14:paraId="005FD8C2"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21 448,00 Kč </w:t>
            </w:r>
          </w:p>
        </w:tc>
      </w:tr>
      <w:tr w:rsidR="00963985" w:rsidRPr="00963985" w14:paraId="5A081EBE" w14:textId="77777777" w:rsidTr="00C246DC">
        <w:trPr>
          <w:trHeight w:val="1647"/>
        </w:trPr>
        <w:tc>
          <w:tcPr>
            <w:tcW w:w="763" w:type="dxa"/>
            <w:shd w:val="clear" w:color="auto" w:fill="auto"/>
            <w:noWrap/>
            <w:hideMark/>
          </w:tcPr>
          <w:p w14:paraId="5FF046DC"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3</w:t>
            </w:r>
          </w:p>
        </w:tc>
        <w:tc>
          <w:tcPr>
            <w:tcW w:w="3402" w:type="dxa"/>
            <w:shd w:val="clear" w:color="auto" w:fill="auto"/>
            <w:hideMark/>
          </w:tcPr>
          <w:p w14:paraId="1FDB4934"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Diskové pole pro 12 pozic 2,5" SATA SSD, 3,5" SATA HDD disky, procesor AMD </w:t>
            </w:r>
            <w:proofErr w:type="spellStart"/>
            <w:r w:rsidRPr="00963985">
              <w:rPr>
                <w:rFonts w:ascii="Times New Roman" w:eastAsia="Times New Roman" w:hAnsi="Times New Roman" w:cs="Times New Roman"/>
                <w:color w:val="auto"/>
                <w:kern w:val="0"/>
                <w:sz w:val="20"/>
                <w:szCs w:val="20"/>
                <w14:ligatures w14:val="none"/>
              </w:rPr>
              <w:t>Ryzen</w:t>
            </w:r>
            <w:proofErr w:type="spellEnd"/>
            <w:r w:rsidRPr="00963985">
              <w:rPr>
                <w:rFonts w:ascii="Times New Roman" w:eastAsia="Times New Roman" w:hAnsi="Times New Roman" w:cs="Times New Roman"/>
                <w:color w:val="auto"/>
                <w:kern w:val="0"/>
                <w:sz w:val="20"/>
                <w:szCs w:val="20"/>
                <w14:ligatures w14:val="none"/>
              </w:rPr>
              <w:t xml:space="preserve"> V1780B s frekvencí 3,35 GHz, paměť RAM DDR4 8 GB, 3× LAN, 2× USB 3.0, 1× </w:t>
            </w:r>
            <w:proofErr w:type="spellStart"/>
            <w:r w:rsidRPr="00963985">
              <w:rPr>
                <w:rFonts w:ascii="Times New Roman" w:eastAsia="Times New Roman" w:hAnsi="Times New Roman" w:cs="Times New Roman"/>
                <w:color w:val="auto"/>
                <w:kern w:val="0"/>
                <w:sz w:val="20"/>
                <w:szCs w:val="20"/>
                <w14:ligatures w14:val="none"/>
              </w:rPr>
              <w:t>PCiE</w:t>
            </w:r>
            <w:proofErr w:type="spellEnd"/>
            <w:r w:rsidRPr="00963985">
              <w:rPr>
                <w:rFonts w:ascii="Times New Roman" w:eastAsia="Times New Roman" w:hAnsi="Times New Roman" w:cs="Times New Roman"/>
                <w:color w:val="auto"/>
                <w:kern w:val="0"/>
                <w:sz w:val="20"/>
                <w:szCs w:val="20"/>
                <w14:ligatures w14:val="none"/>
              </w:rPr>
              <w:t>, podporuje media server (DLNA), sdílení souborů (SAMBA, HFS, CIFS)</w:t>
            </w:r>
          </w:p>
        </w:tc>
        <w:tc>
          <w:tcPr>
            <w:tcW w:w="985" w:type="dxa"/>
            <w:shd w:val="clear" w:color="auto" w:fill="auto"/>
            <w:noWrap/>
            <w:hideMark/>
          </w:tcPr>
          <w:p w14:paraId="3A941D38"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5F31B234"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108E4BF6"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67 739,00 Kč</w:t>
            </w:r>
          </w:p>
        </w:tc>
        <w:tc>
          <w:tcPr>
            <w:tcW w:w="2418" w:type="dxa"/>
            <w:shd w:val="clear" w:color="auto" w:fill="auto"/>
            <w:noWrap/>
            <w:hideMark/>
          </w:tcPr>
          <w:p w14:paraId="3E04D264"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67 739,00 Kč </w:t>
            </w:r>
          </w:p>
        </w:tc>
      </w:tr>
      <w:tr w:rsidR="00963985" w:rsidRPr="00963985" w14:paraId="24DE4065" w14:textId="77777777" w:rsidTr="00C246DC">
        <w:trPr>
          <w:trHeight w:val="348"/>
        </w:trPr>
        <w:tc>
          <w:tcPr>
            <w:tcW w:w="763" w:type="dxa"/>
            <w:shd w:val="clear" w:color="auto" w:fill="auto"/>
            <w:noWrap/>
            <w:hideMark/>
          </w:tcPr>
          <w:p w14:paraId="049045C1"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4</w:t>
            </w:r>
          </w:p>
        </w:tc>
        <w:tc>
          <w:tcPr>
            <w:tcW w:w="3402" w:type="dxa"/>
            <w:shd w:val="clear" w:color="auto" w:fill="auto"/>
            <w:hideMark/>
          </w:tcPr>
          <w:p w14:paraId="2DD0B1B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HDD 12TB</w:t>
            </w:r>
          </w:p>
        </w:tc>
        <w:tc>
          <w:tcPr>
            <w:tcW w:w="985" w:type="dxa"/>
            <w:shd w:val="clear" w:color="auto" w:fill="auto"/>
            <w:noWrap/>
            <w:hideMark/>
          </w:tcPr>
          <w:p w14:paraId="3A3E809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0AD7E2CC"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6</w:t>
            </w:r>
          </w:p>
        </w:tc>
        <w:tc>
          <w:tcPr>
            <w:tcW w:w="1559" w:type="dxa"/>
            <w:shd w:val="clear" w:color="auto" w:fill="auto"/>
            <w:noWrap/>
            <w:hideMark/>
          </w:tcPr>
          <w:p w14:paraId="17245998"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14 068,00 Kč</w:t>
            </w:r>
          </w:p>
        </w:tc>
        <w:tc>
          <w:tcPr>
            <w:tcW w:w="2418" w:type="dxa"/>
            <w:shd w:val="clear" w:color="auto" w:fill="auto"/>
            <w:noWrap/>
            <w:hideMark/>
          </w:tcPr>
          <w:p w14:paraId="688DD982"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84 408,00 Kč </w:t>
            </w:r>
          </w:p>
        </w:tc>
      </w:tr>
      <w:tr w:rsidR="00963985" w:rsidRPr="00963985" w14:paraId="62F864A3" w14:textId="77777777" w:rsidTr="00C246DC">
        <w:trPr>
          <w:trHeight w:val="348"/>
        </w:trPr>
        <w:tc>
          <w:tcPr>
            <w:tcW w:w="9926" w:type="dxa"/>
            <w:gridSpan w:val="6"/>
            <w:shd w:val="clear" w:color="000000" w:fill="C0C0C0"/>
            <w:noWrap/>
            <w:hideMark/>
          </w:tcPr>
          <w:p w14:paraId="7D59394E"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i/>
                <w:iCs/>
                <w:color w:val="auto"/>
                <w:kern w:val="0"/>
                <w:sz w:val="20"/>
                <w:szCs w:val="20"/>
                <w14:ligatures w14:val="none"/>
              </w:rPr>
            </w:pPr>
            <w:r w:rsidRPr="00963985">
              <w:rPr>
                <w:rFonts w:ascii="Times New Roman CE" w:eastAsia="Times New Roman" w:hAnsi="Times New Roman CE" w:cs="Times New Roman"/>
                <w:b/>
                <w:bCs/>
                <w:i/>
                <w:iCs/>
                <w:color w:val="auto"/>
                <w:kern w:val="0"/>
                <w:sz w:val="20"/>
                <w:szCs w:val="20"/>
                <w14:ligatures w14:val="none"/>
              </w:rPr>
              <w:t>Montáž</w:t>
            </w:r>
          </w:p>
        </w:tc>
      </w:tr>
      <w:tr w:rsidR="00963985" w:rsidRPr="00963985" w14:paraId="02434B7E" w14:textId="77777777" w:rsidTr="00C246DC">
        <w:trPr>
          <w:trHeight w:val="348"/>
        </w:trPr>
        <w:tc>
          <w:tcPr>
            <w:tcW w:w="763" w:type="dxa"/>
            <w:shd w:val="clear" w:color="auto" w:fill="auto"/>
            <w:noWrap/>
            <w:hideMark/>
          </w:tcPr>
          <w:p w14:paraId="6E39B26E"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1</w:t>
            </w:r>
          </w:p>
        </w:tc>
        <w:tc>
          <w:tcPr>
            <w:tcW w:w="3402" w:type="dxa"/>
            <w:shd w:val="clear" w:color="auto" w:fill="auto"/>
            <w:hideMark/>
          </w:tcPr>
          <w:p w14:paraId="367F1169"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Instalace serveru</w:t>
            </w:r>
          </w:p>
        </w:tc>
        <w:tc>
          <w:tcPr>
            <w:tcW w:w="985" w:type="dxa"/>
            <w:shd w:val="clear" w:color="auto" w:fill="auto"/>
            <w:noWrap/>
            <w:hideMark/>
          </w:tcPr>
          <w:p w14:paraId="43CBAEE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7801B1E0"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7411D608"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6 600,00 Kč</w:t>
            </w:r>
          </w:p>
        </w:tc>
        <w:tc>
          <w:tcPr>
            <w:tcW w:w="2418" w:type="dxa"/>
            <w:shd w:val="clear" w:color="auto" w:fill="auto"/>
            <w:noWrap/>
            <w:hideMark/>
          </w:tcPr>
          <w:p w14:paraId="6B4CF441"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6 600,00 Kč </w:t>
            </w:r>
          </w:p>
        </w:tc>
      </w:tr>
      <w:tr w:rsidR="00963985" w:rsidRPr="00963985" w14:paraId="43DE6DFA" w14:textId="77777777" w:rsidTr="00C246DC">
        <w:trPr>
          <w:trHeight w:val="348"/>
        </w:trPr>
        <w:tc>
          <w:tcPr>
            <w:tcW w:w="763" w:type="dxa"/>
            <w:shd w:val="clear" w:color="auto" w:fill="auto"/>
            <w:noWrap/>
            <w:hideMark/>
          </w:tcPr>
          <w:p w14:paraId="6AB3C736"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2</w:t>
            </w:r>
          </w:p>
        </w:tc>
        <w:tc>
          <w:tcPr>
            <w:tcW w:w="3402" w:type="dxa"/>
            <w:shd w:val="clear" w:color="auto" w:fill="auto"/>
            <w:hideMark/>
          </w:tcPr>
          <w:p w14:paraId="0DEE436E"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Konfigurace diskového pole</w:t>
            </w:r>
          </w:p>
        </w:tc>
        <w:tc>
          <w:tcPr>
            <w:tcW w:w="985" w:type="dxa"/>
            <w:shd w:val="clear" w:color="auto" w:fill="auto"/>
            <w:noWrap/>
            <w:hideMark/>
          </w:tcPr>
          <w:p w14:paraId="089D9128"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1FD655DE"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7CA8F12C"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3 300,00 Kč</w:t>
            </w:r>
          </w:p>
        </w:tc>
        <w:tc>
          <w:tcPr>
            <w:tcW w:w="2418" w:type="dxa"/>
            <w:shd w:val="clear" w:color="auto" w:fill="auto"/>
            <w:noWrap/>
            <w:hideMark/>
          </w:tcPr>
          <w:p w14:paraId="783928C8"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3 300,00 Kč </w:t>
            </w:r>
          </w:p>
        </w:tc>
      </w:tr>
      <w:tr w:rsidR="00963985" w:rsidRPr="00963985" w14:paraId="569B2AFC" w14:textId="77777777" w:rsidTr="00C246DC">
        <w:trPr>
          <w:trHeight w:val="659"/>
        </w:trPr>
        <w:tc>
          <w:tcPr>
            <w:tcW w:w="763" w:type="dxa"/>
            <w:shd w:val="clear" w:color="auto" w:fill="auto"/>
            <w:noWrap/>
            <w:hideMark/>
          </w:tcPr>
          <w:p w14:paraId="472DEA42" w14:textId="77777777" w:rsidR="00963985" w:rsidRPr="00963985" w:rsidRDefault="00963985" w:rsidP="00963985">
            <w:pPr>
              <w:spacing w:after="0" w:line="240" w:lineRule="auto"/>
              <w:ind w:left="0" w:firstLine="0"/>
              <w:jc w:val="center"/>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3</w:t>
            </w:r>
          </w:p>
        </w:tc>
        <w:tc>
          <w:tcPr>
            <w:tcW w:w="3402" w:type="dxa"/>
            <w:shd w:val="clear" w:color="auto" w:fill="auto"/>
            <w:vAlign w:val="bottom"/>
            <w:hideMark/>
          </w:tcPr>
          <w:p w14:paraId="4780C908"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Instalace SW </w:t>
            </w:r>
            <w:proofErr w:type="spellStart"/>
            <w:r w:rsidRPr="00963985">
              <w:rPr>
                <w:rFonts w:ascii="Times New Roman" w:eastAsia="Times New Roman" w:hAnsi="Times New Roman" w:cs="Times New Roman"/>
                <w:color w:val="auto"/>
                <w:kern w:val="0"/>
                <w:sz w:val="20"/>
                <w:szCs w:val="20"/>
                <w14:ligatures w14:val="none"/>
              </w:rPr>
              <w:t>Wisenet</w:t>
            </w:r>
            <w:proofErr w:type="spellEnd"/>
            <w:r w:rsidRPr="00963985">
              <w:rPr>
                <w:rFonts w:ascii="Times New Roman" w:eastAsia="Times New Roman" w:hAnsi="Times New Roman" w:cs="Times New Roman"/>
                <w:color w:val="auto"/>
                <w:kern w:val="0"/>
                <w:sz w:val="20"/>
                <w:szCs w:val="20"/>
                <w14:ligatures w14:val="none"/>
              </w:rPr>
              <w:t xml:space="preserve"> </w:t>
            </w:r>
            <w:proofErr w:type="spellStart"/>
            <w:r w:rsidRPr="00963985">
              <w:rPr>
                <w:rFonts w:ascii="Times New Roman" w:eastAsia="Times New Roman" w:hAnsi="Times New Roman" w:cs="Times New Roman"/>
                <w:color w:val="auto"/>
                <w:kern w:val="0"/>
                <w:sz w:val="20"/>
                <w:szCs w:val="20"/>
                <w14:ligatures w14:val="none"/>
              </w:rPr>
              <w:t>Wave</w:t>
            </w:r>
            <w:proofErr w:type="spellEnd"/>
            <w:r w:rsidRPr="00963985">
              <w:rPr>
                <w:rFonts w:ascii="Times New Roman" w:eastAsia="Times New Roman" w:hAnsi="Times New Roman" w:cs="Times New Roman"/>
                <w:color w:val="auto"/>
                <w:kern w:val="0"/>
                <w:sz w:val="20"/>
                <w:szCs w:val="20"/>
                <w14:ligatures w14:val="none"/>
              </w:rPr>
              <w:t xml:space="preserve">, </w:t>
            </w:r>
            <w:proofErr w:type="spellStart"/>
            <w:r w:rsidRPr="00963985">
              <w:rPr>
                <w:rFonts w:ascii="Times New Roman" w:eastAsia="Times New Roman" w:hAnsi="Times New Roman" w:cs="Times New Roman"/>
                <w:color w:val="auto"/>
                <w:kern w:val="0"/>
                <w:sz w:val="20"/>
                <w:szCs w:val="20"/>
                <w14:ligatures w14:val="none"/>
              </w:rPr>
              <w:t>přelicencování</w:t>
            </w:r>
            <w:proofErr w:type="spellEnd"/>
            <w:r w:rsidRPr="00963985">
              <w:rPr>
                <w:rFonts w:ascii="Times New Roman" w:eastAsia="Times New Roman" w:hAnsi="Times New Roman" w:cs="Times New Roman"/>
                <w:color w:val="auto"/>
                <w:kern w:val="0"/>
                <w:sz w:val="20"/>
                <w:szCs w:val="20"/>
                <w14:ligatures w14:val="none"/>
              </w:rPr>
              <w:t xml:space="preserve"> a konfigurace kamer</w:t>
            </w:r>
          </w:p>
        </w:tc>
        <w:tc>
          <w:tcPr>
            <w:tcW w:w="985" w:type="dxa"/>
            <w:shd w:val="clear" w:color="auto" w:fill="auto"/>
            <w:noWrap/>
            <w:vAlign w:val="bottom"/>
            <w:hideMark/>
          </w:tcPr>
          <w:p w14:paraId="32AD16B1"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p>
        </w:tc>
        <w:tc>
          <w:tcPr>
            <w:tcW w:w="799" w:type="dxa"/>
            <w:shd w:val="clear" w:color="auto" w:fill="auto"/>
            <w:noWrap/>
            <w:hideMark/>
          </w:tcPr>
          <w:p w14:paraId="354C5586" w14:textId="77777777" w:rsidR="00963985" w:rsidRPr="00963985" w:rsidRDefault="00963985" w:rsidP="00963985">
            <w:pPr>
              <w:spacing w:after="0" w:line="240" w:lineRule="auto"/>
              <w:ind w:left="0" w:firstLine="0"/>
              <w:jc w:val="center"/>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1</w:t>
            </w:r>
          </w:p>
        </w:tc>
        <w:tc>
          <w:tcPr>
            <w:tcW w:w="1559" w:type="dxa"/>
            <w:shd w:val="clear" w:color="auto" w:fill="auto"/>
            <w:noWrap/>
            <w:hideMark/>
          </w:tcPr>
          <w:p w14:paraId="4C79CB9F" w14:textId="77777777" w:rsidR="00963985" w:rsidRPr="00963985" w:rsidRDefault="00963985" w:rsidP="00963985">
            <w:pPr>
              <w:spacing w:after="0" w:line="240" w:lineRule="auto"/>
              <w:ind w:left="0" w:firstLine="0"/>
              <w:jc w:val="righ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8 250,00 Kč</w:t>
            </w:r>
          </w:p>
        </w:tc>
        <w:tc>
          <w:tcPr>
            <w:tcW w:w="2418" w:type="dxa"/>
            <w:shd w:val="clear" w:color="auto" w:fill="auto"/>
            <w:noWrap/>
            <w:hideMark/>
          </w:tcPr>
          <w:p w14:paraId="778579B6"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xml:space="preserve">                         8 250,00 Kč </w:t>
            </w:r>
          </w:p>
        </w:tc>
      </w:tr>
      <w:tr w:rsidR="00963985" w:rsidRPr="00963985" w14:paraId="36B8B7EC" w14:textId="77777777" w:rsidTr="00C246DC">
        <w:trPr>
          <w:trHeight w:val="348"/>
        </w:trPr>
        <w:tc>
          <w:tcPr>
            <w:tcW w:w="763" w:type="dxa"/>
            <w:shd w:val="clear" w:color="000000" w:fill="BFBFBF"/>
            <w:noWrap/>
            <w:hideMark/>
          </w:tcPr>
          <w:p w14:paraId="19CCE6BB" w14:textId="77777777" w:rsidR="00963985" w:rsidRPr="00963985" w:rsidRDefault="00963985" w:rsidP="00963985">
            <w:pPr>
              <w:spacing w:after="0" w:line="240" w:lineRule="auto"/>
              <w:ind w:left="0" w:firstLine="0"/>
              <w:jc w:val="left"/>
              <w:rPr>
                <w:rFonts w:ascii="Times New Roman" w:eastAsia="Times New Roman" w:hAnsi="Times New Roman" w:cs="Times New Roman"/>
                <w:b/>
                <w:bCs/>
                <w:i/>
                <w:iCs/>
                <w:color w:val="auto"/>
                <w:kern w:val="0"/>
                <w:sz w:val="20"/>
                <w:szCs w:val="20"/>
                <w14:ligatures w14:val="none"/>
              </w:rPr>
            </w:pPr>
            <w:r w:rsidRPr="00963985">
              <w:rPr>
                <w:rFonts w:ascii="Times New Roman" w:eastAsia="Times New Roman" w:hAnsi="Times New Roman" w:cs="Times New Roman"/>
                <w:b/>
                <w:bCs/>
                <w:i/>
                <w:iCs/>
                <w:color w:val="auto"/>
                <w:kern w:val="0"/>
                <w:sz w:val="20"/>
                <w:szCs w:val="20"/>
                <w14:ligatures w14:val="none"/>
              </w:rPr>
              <w:t>Celkem</w:t>
            </w:r>
          </w:p>
        </w:tc>
        <w:tc>
          <w:tcPr>
            <w:tcW w:w="3402" w:type="dxa"/>
            <w:shd w:val="clear" w:color="000000" w:fill="BFBFBF"/>
            <w:noWrap/>
            <w:hideMark/>
          </w:tcPr>
          <w:p w14:paraId="64BC5DF6"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w:t>
            </w:r>
          </w:p>
        </w:tc>
        <w:tc>
          <w:tcPr>
            <w:tcW w:w="985" w:type="dxa"/>
            <w:shd w:val="clear" w:color="000000" w:fill="BFBFBF"/>
            <w:noWrap/>
            <w:hideMark/>
          </w:tcPr>
          <w:p w14:paraId="296D91E4"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w:t>
            </w:r>
          </w:p>
        </w:tc>
        <w:tc>
          <w:tcPr>
            <w:tcW w:w="799" w:type="dxa"/>
            <w:shd w:val="clear" w:color="000000" w:fill="BFBFBF"/>
            <w:noWrap/>
            <w:hideMark/>
          </w:tcPr>
          <w:p w14:paraId="6B82A467"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w:t>
            </w:r>
          </w:p>
        </w:tc>
        <w:tc>
          <w:tcPr>
            <w:tcW w:w="1559" w:type="dxa"/>
            <w:shd w:val="clear" w:color="000000" w:fill="BFBFBF"/>
            <w:noWrap/>
            <w:hideMark/>
          </w:tcPr>
          <w:p w14:paraId="0DE9F5B0" w14:textId="77777777" w:rsidR="00963985" w:rsidRPr="00963985" w:rsidRDefault="00963985" w:rsidP="00963985">
            <w:pPr>
              <w:spacing w:after="0" w:line="240" w:lineRule="auto"/>
              <w:ind w:left="0" w:firstLine="0"/>
              <w:jc w:val="left"/>
              <w:rPr>
                <w:rFonts w:ascii="Times New Roman" w:eastAsia="Times New Roman" w:hAnsi="Times New Roman" w:cs="Times New Roman"/>
                <w:color w:val="auto"/>
                <w:kern w:val="0"/>
                <w:sz w:val="20"/>
                <w:szCs w:val="20"/>
                <w14:ligatures w14:val="none"/>
              </w:rPr>
            </w:pPr>
            <w:r w:rsidRPr="00963985">
              <w:rPr>
                <w:rFonts w:ascii="Times New Roman" w:eastAsia="Times New Roman" w:hAnsi="Times New Roman" w:cs="Times New Roman"/>
                <w:color w:val="auto"/>
                <w:kern w:val="0"/>
                <w:sz w:val="20"/>
                <w:szCs w:val="20"/>
                <w14:ligatures w14:val="none"/>
              </w:rPr>
              <w:t> </w:t>
            </w:r>
          </w:p>
        </w:tc>
        <w:tc>
          <w:tcPr>
            <w:tcW w:w="2418" w:type="dxa"/>
            <w:shd w:val="clear" w:color="000000" w:fill="BFBFBF"/>
            <w:noWrap/>
            <w:hideMark/>
          </w:tcPr>
          <w:p w14:paraId="63831490" w14:textId="77777777" w:rsidR="00963985" w:rsidRPr="00963985" w:rsidRDefault="00963985" w:rsidP="00963985">
            <w:pPr>
              <w:spacing w:after="0" w:line="240" w:lineRule="auto"/>
              <w:ind w:left="0" w:firstLine="0"/>
              <w:jc w:val="left"/>
              <w:rPr>
                <w:rFonts w:ascii="Times New Roman CE" w:eastAsia="Times New Roman" w:hAnsi="Times New Roman CE" w:cs="Times New Roman"/>
                <w:b/>
                <w:bCs/>
                <w:color w:val="auto"/>
                <w:kern w:val="0"/>
                <w:sz w:val="20"/>
                <w:szCs w:val="20"/>
                <w14:ligatures w14:val="none"/>
              </w:rPr>
            </w:pPr>
            <w:r w:rsidRPr="00963985">
              <w:rPr>
                <w:rFonts w:ascii="Times New Roman CE" w:eastAsia="Times New Roman" w:hAnsi="Times New Roman CE" w:cs="Times New Roman"/>
                <w:b/>
                <w:bCs/>
                <w:color w:val="auto"/>
                <w:kern w:val="0"/>
                <w:sz w:val="20"/>
                <w:szCs w:val="20"/>
                <w14:ligatures w14:val="none"/>
              </w:rPr>
              <w:t xml:space="preserve">                  241 502,00 Kč </w:t>
            </w:r>
          </w:p>
        </w:tc>
      </w:tr>
    </w:tbl>
    <w:p w14:paraId="7B31AC80" w14:textId="77777777" w:rsidR="00963985" w:rsidRDefault="00963985" w:rsidP="00963985">
      <w:pPr>
        <w:spacing w:after="0" w:line="240" w:lineRule="auto"/>
        <w:ind w:left="0" w:right="-142" w:firstLine="0"/>
        <w:rPr>
          <w:rFonts w:ascii="Arial" w:hAnsi="Arial" w:cs="Arial"/>
          <w:sz w:val="22"/>
        </w:rPr>
      </w:pPr>
    </w:p>
    <w:p w14:paraId="31626A66" w14:textId="77777777" w:rsidR="00963985" w:rsidRDefault="00963985" w:rsidP="00963985">
      <w:pPr>
        <w:pStyle w:val="Odstavecseseznamem"/>
        <w:ind w:left="0" w:right="-142"/>
        <w:jc w:val="both"/>
      </w:pPr>
    </w:p>
    <w:sectPr w:rsidR="00963985">
      <w:footerReference w:type="even" r:id="rId7"/>
      <w:footerReference w:type="default" r:id="rId8"/>
      <w:footerReference w:type="first" r:id="rId9"/>
      <w:pgSz w:w="11906" w:h="16838"/>
      <w:pgMar w:top="1466" w:right="1414" w:bottom="1534" w:left="1419"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13AB2" w14:textId="77777777" w:rsidR="00CC1992" w:rsidRDefault="00CC1992">
      <w:pPr>
        <w:spacing w:after="0" w:line="240" w:lineRule="auto"/>
      </w:pPr>
      <w:r>
        <w:separator/>
      </w:r>
    </w:p>
  </w:endnote>
  <w:endnote w:type="continuationSeparator" w:id="0">
    <w:p w14:paraId="41BA1E77" w14:textId="77777777" w:rsidR="00CC1992" w:rsidRDefault="00CC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86D0" w14:textId="77777777" w:rsidR="005D51A3" w:rsidRDefault="00AD35EA">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w:t>
    </w:r>
    <w:fldSimple w:instr=" NUMPAGES   \* MERGEFORMAT ">
      <w:r w:rsidR="005D51A3">
        <w:rPr>
          <w:sz w:val="22"/>
        </w:rPr>
        <w:t>3</w:t>
      </w:r>
    </w:fldSimple>
    <w:r>
      <w:rPr>
        <w:sz w:val="22"/>
      </w:rPr>
      <w:t xml:space="preserve"> </w:t>
    </w:r>
  </w:p>
  <w:p w14:paraId="05C4BE92" w14:textId="77777777" w:rsidR="005D51A3" w:rsidRDefault="00AD35EA">
    <w:pPr>
      <w:spacing w:after="0" w:line="259" w:lineRule="auto"/>
      <w:ind w:left="0" w:firstLine="0"/>
      <w:jc w:val="left"/>
    </w:pPr>
    <w:r>
      <w:rPr>
        <w:sz w:val="22"/>
      </w:rPr>
      <w:t xml:space="preserve"> </w:t>
    </w:r>
  </w:p>
  <w:p w14:paraId="67CF94D1" w14:textId="77777777" w:rsidR="005D51A3" w:rsidRDefault="00AD35EA">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CE2D3" w14:textId="77777777" w:rsidR="005D51A3" w:rsidRDefault="00AD35EA">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w:t>
    </w:r>
    <w:fldSimple w:instr=" NUMPAGES   \* MERGEFORMAT ">
      <w:r w:rsidR="005D51A3">
        <w:rPr>
          <w:sz w:val="22"/>
        </w:rPr>
        <w:t>3</w:t>
      </w:r>
    </w:fldSimple>
    <w:r>
      <w:rPr>
        <w:sz w:val="22"/>
      </w:rPr>
      <w:t xml:space="preserve"> </w:t>
    </w:r>
  </w:p>
  <w:p w14:paraId="1E1690C5" w14:textId="77777777" w:rsidR="005D51A3" w:rsidRDefault="00AD35EA">
    <w:pPr>
      <w:spacing w:after="0" w:line="259" w:lineRule="auto"/>
      <w:ind w:left="0" w:firstLine="0"/>
      <w:jc w:val="left"/>
    </w:pPr>
    <w:r>
      <w:rPr>
        <w:sz w:val="22"/>
      </w:rPr>
      <w:t xml:space="preserve"> </w:t>
    </w:r>
  </w:p>
  <w:p w14:paraId="62BCA06B" w14:textId="77777777" w:rsidR="005D51A3" w:rsidRDefault="00AD35EA">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F5365" w14:textId="77777777" w:rsidR="005D51A3" w:rsidRDefault="00AD35EA">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w:t>
    </w:r>
    <w:fldSimple w:instr=" NUMPAGES   \* MERGEFORMAT ">
      <w:r w:rsidR="005D51A3">
        <w:rPr>
          <w:sz w:val="22"/>
        </w:rPr>
        <w:t>3</w:t>
      </w:r>
    </w:fldSimple>
    <w:r>
      <w:rPr>
        <w:sz w:val="22"/>
      </w:rPr>
      <w:t xml:space="preserve"> </w:t>
    </w:r>
  </w:p>
  <w:p w14:paraId="0BFF4028" w14:textId="77777777" w:rsidR="005D51A3" w:rsidRDefault="00AD35EA">
    <w:pPr>
      <w:spacing w:after="0" w:line="259" w:lineRule="auto"/>
      <w:ind w:left="0" w:firstLine="0"/>
      <w:jc w:val="left"/>
    </w:pPr>
    <w:r>
      <w:rPr>
        <w:sz w:val="22"/>
      </w:rPr>
      <w:t xml:space="preserve"> </w:t>
    </w:r>
  </w:p>
  <w:p w14:paraId="5A4CF8AD" w14:textId="77777777" w:rsidR="005D51A3" w:rsidRDefault="00AD35EA">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AC44D" w14:textId="77777777" w:rsidR="00CC1992" w:rsidRDefault="00CC1992">
      <w:pPr>
        <w:spacing w:after="0" w:line="240" w:lineRule="auto"/>
      </w:pPr>
      <w:r>
        <w:separator/>
      </w:r>
    </w:p>
  </w:footnote>
  <w:footnote w:type="continuationSeparator" w:id="0">
    <w:p w14:paraId="10D87BEE" w14:textId="77777777" w:rsidR="00CC1992" w:rsidRDefault="00CC1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2C86"/>
    <w:multiLevelType w:val="hybridMultilevel"/>
    <w:tmpl w:val="5DA059D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35858"/>
    <w:multiLevelType w:val="hybridMultilevel"/>
    <w:tmpl w:val="CD967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461F8"/>
    <w:multiLevelType w:val="hybridMultilevel"/>
    <w:tmpl w:val="67FEF1BA"/>
    <w:lvl w:ilvl="0" w:tplc="0D26D628">
      <w:start w:val="1"/>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8A8064">
      <w:start w:val="1"/>
      <w:numFmt w:val="lowerLetter"/>
      <w:lvlText w:val="%2"/>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1E19FE">
      <w:start w:val="1"/>
      <w:numFmt w:val="lowerRoman"/>
      <w:lvlText w:val="%3"/>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3644B2">
      <w:start w:val="1"/>
      <w:numFmt w:val="decimal"/>
      <w:lvlText w:val="%4"/>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89EEE">
      <w:start w:val="1"/>
      <w:numFmt w:val="lowerLetter"/>
      <w:lvlText w:val="%5"/>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A4EC9A">
      <w:start w:val="1"/>
      <w:numFmt w:val="lowerRoman"/>
      <w:lvlText w:val="%6"/>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B2A5B6">
      <w:start w:val="1"/>
      <w:numFmt w:val="decimal"/>
      <w:lvlText w:val="%7"/>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2E47CE">
      <w:start w:val="1"/>
      <w:numFmt w:val="lowerLetter"/>
      <w:lvlText w:val="%8"/>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8AA4B8">
      <w:start w:val="1"/>
      <w:numFmt w:val="lowerRoman"/>
      <w:lvlText w:val="%9"/>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AD2333"/>
    <w:multiLevelType w:val="hybridMultilevel"/>
    <w:tmpl w:val="7CCAC2EA"/>
    <w:lvl w:ilvl="0" w:tplc="098473D6">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5"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C71F7"/>
    <w:multiLevelType w:val="hybridMultilevel"/>
    <w:tmpl w:val="CF20730A"/>
    <w:lvl w:ilvl="0" w:tplc="098473D6">
      <w:start w:val="1"/>
      <w:numFmt w:val="decimal"/>
      <w:lvlText w:val="%1."/>
      <w:lvlJc w:val="left"/>
      <w:pPr>
        <w:ind w:left="34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216DCC"/>
    <w:multiLevelType w:val="hybridMultilevel"/>
    <w:tmpl w:val="E8408FF2"/>
    <w:lvl w:ilvl="0" w:tplc="B55C406C">
      <w:start w:val="1"/>
      <w:numFmt w:val="decimal"/>
      <w:lvlText w:val="%1."/>
      <w:lvlJc w:val="left"/>
      <w:pPr>
        <w:ind w:left="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26D990">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AE4C92">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50D2A6">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C4544">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D6642A">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9ED18A">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FE2212">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F0FAB0">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7C4C66"/>
    <w:multiLevelType w:val="hybridMultilevel"/>
    <w:tmpl w:val="C29A2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5B235E"/>
    <w:multiLevelType w:val="hybridMultilevel"/>
    <w:tmpl w:val="DBBC3BDC"/>
    <w:lvl w:ilvl="0" w:tplc="1B9E007A">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738E5FA2"/>
    <w:multiLevelType w:val="hybridMultilevel"/>
    <w:tmpl w:val="7C4AC7E4"/>
    <w:lvl w:ilvl="0" w:tplc="098473D6">
      <w:start w:val="1"/>
      <w:numFmt w:val="decimal"/>
      <w:lvlText w:val="%1."/>
      <w:lvlJc w:val="left"/>
      <w:pPr>
        <w:ind w:left="350" w:hanging="360"/>
      </w:pPr>
      <w:rPr>
        <w:rFonts w:hint="default"/>
      </w:rPr>
    </w:lvl>
    <w:lvl w:ilvl="1" w:tplc="313641DA">
      <w:start w:val="1"/>
      <w:numFmt w:val="bullet"/>
      <w:lvlText w:val="-"/>
      <w:lvlJc w:val="left"/>
      <w:pPr>
        <w:ind w:left="1070" w:hanging="360"/>
      </w:pPr>
      <w:rPr>
        <w:rFonts w:ascii="Arial" w:eastAsia="Calibri" w:hAnsi="Arial" w:cs="Arial" w:hint="default"/>
      </w:r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14" w15:restartNumberingAfterBreak="0">
    <w:nsid w:val="7B901CC8"/>
    <w:multiLevelType w:val="hybridMultilevel"/>
    <w:tmpl w:val="4ADADECE"/>
    <w:lvl w:ilvl="0" w:tplc="A0F2E792">
      <w:start w:val="4"/>
      <w:numFmt w:val="bullet"/>
      <w:lvlText w:val="-"/>
      <w:lvlJc w:val="left"/>
      <w:pPr>
        <w:ind w:left="1155" w:hanging="360"/>
      </w:pPr>
      <w:rPr>
        <w:rFonts w:ascii="Times New Roman" w:eastAsia="Times New Roman" w:hAnsi="Times New Roman" w:cs="Times New Roman" w:hint="default"/>
      </w:rPr>
    </w:lvl>
    <w:lvl w:ilvl="1" w:tplc="A0F2E792">
      <w:start w:val="4"/>
      <w:numFmt w:val="bullet"/>
      <w:lvlText w:val="-"/>
      <w:lvlJc w:val="left"/>
      <w:pPr>
        <w:ind w:left="1875" w:hanging="360"/>
      </w:pPr>
      <w:rPr>
        <w:rFonts w:ascii="Times New Roman" w:eastAsia="Times New Roman" w:hAnsi="Times New Roman" w:cs="Times New Roman"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num w:numId="1" w16cid:durableId="2137143362">
    <w:abstractNumId w:val="2"/>
  </w:num>
  <w:num w:numId="2" w16cid:durableId="1385719005">
    <w:abstractNumId w:val="9"/>
  </w:num>
  <w:num w:numId="3" w16cid:durableId="1729956969">
    <w:abstractNumId w:val="11"/>
  </w:num>
  <w:num w:numId="4" w16cid:durableId="197552073">
    <w:abstractNumId w:val="5"/>
  </w:num>
  <w:num w:numId="5" w16cid:durableId="1656452428">
    <w:abstractNumId w:val="8"/>
  </w:num>
  <w:num w:numId="6" w16cid:durableId="759377770">
    <w:abstractNumId w:val="7"/>
  </w:num>
  <w:num w:numId="7" w16cid:durableId="1487287088">
    <w:abstractNumId w:val="12"/>
  </w:num>
  <w:num w:numId="8" w16cid:durableId="1244946937">
    <w:abstractNumId w:val="3"/>
  </w:num>
  <w:num w:numId="9" w16cid:durableId="1654943073">
    <w:abstractNumId w:val="10"/>
  </w:num>
  <w:num w:numId="10" w16cid:durableId="47607834">
    <w:abstractNumId w:val="1"/>
  </w:num>
  <w:num w:numId="11" w16cid:durableId="1433429973">
    <w:abstractNumId w:val="0"/>
  </w:num>
  <w:num w:numId="12" w16cid:durableId="558899225">
    <w:abstractNumId w:val="4"/>
  </w:num>
  <w:num w:numId="13" w16cid:durableId="664357183">
    <w:abstractNumId w:val="6"/>
  </w:num>
  <w:num w:numId="14" w16cid:durableId="1962496225">
    <w:abstractNumId w:val="13"/>
  </w:num>
  <w:num w:numId="15" w16cid:durableId="868026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A3"/>
    <w:rsid w:val="00075385"/>
    <w:rsid w:val="001500E9"/>
    <w:rsid w:val="0027745C"/>
    <w:rsid w:val="0036245E"/>
    <w:rsid w:val="003A53B2"/>
    <w:rsid w:val="003D3373"/>
    <w:rsid w:val="004B22A7"/>
    <w:rsid w:val="005D51A3"/>
    <w:rsid w:val="005D7B6A"/>
    <w:rsid w:val="00704C1B"/>
    <w:rsid w:val="00720256"/>
    <w:rsid w:val="00722C2A"/>
    <w:rsid w:val="00756762"/>
    <w:rsid w:val="00827F33"/>
    <w:rsid w:val="008817C8"/>
    <w:rsid w:val="008E5D67"/>
    <w:rsid w:val="00901BDB"/>
    <w:rsid w:val="00963985"/>
    <w:rsid w:val="00A45784"/>
    <w:rsid w:val="00AD35EA"/>
    <w:rsid w:val="00BE599A"/>
    <w:rsid w:val="00C158ED"/>
    <w:rsid w:val="00C16F15"/>
    <w:rsid w:val="00C246DC"/>
    <w:rsid w:val="00CC1992"/>
    <w:rsid w:val="00DE7E0E"/>
    <w:rsid w:val="00E42AD4"/>
    <w:rsid w:val="00EE45C8"/>
    <w:rsid w:val="00F0155F"/>
    <w:rsid w:val="00F076F4"/>
    <w:rsid w:val="00F62618"/>
    <w:rsid w:val="00F87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AF9040"/>
  <w15:docId w15:val="{20D15EB8-7B87-443A-8D1D-1F1E03CB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250" w:lineRule="auto"/>
      <w:ind w:left="10"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left="10" w:right="5" w:hanging="10"/>
      <w:jc w:val="center"/>
      <w:outlineLvl w:val="0"/>
    </w:pPr>
    <w:rPr>
      <w:rFonts w:ascii="Calibri" w:eastAsia="Calibri" w:hAnsi="Calibri" w:cs="Calibri"/>
      <w:b/>
      <w: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i/>
      <w:color w:val="000000"/>
      <w:sz w:val="24"/>
    </w:rPr>
  </w:style>
  <w:style w:type="paragraph" w:styleId="Odstavecseseznamem">
    <w:name w:val="List Paragraph"/>
    <w:basedOn w:val="Normln"/>
    <w:uiPriority w:val="34"/>
    <w:qFormat/>
    <w:rsid w:val="00722C2A"/>
    <w:pPr>
      <w:spacing w:after="0" w:line="240" w:lineRule="auto"/>
      <w:ind w:left="720" w:firstLine="0"/>
      <w:contextualSpacing/>
      <w:jc w:val="left"/>
    </w:pPr>
    <w:rPr>
      <w:rFonts w:ascii="Times New Roman" w:eastAsia="Times New Roman" w:hAnsi="Times New Roman" w:cs="Times New Roman"/>
      <w:color w:val="auto"/>
      <w:kern w:val="0"/>
      <w:sz w:val="20"/>
      <w:szCs w:val="20"/>
      <w14:ligatures w14:val="none"/>
    </w:rPr>
  </w:style>
  <w:style w:type="character" w:styleId="slostrnky">
    <w:name w:val="page number"/>
    <w:basedOn w:val="Standardnpsmoodstavce"/>
    <w:semiHidden/>
    <w:rsid w:val="0096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106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6940</Characters>
  <Application>Microsoft Office Word</Application>
  <DocSecurity>4</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Penz</dc:creator>
  <cp:keywords/>
  <cp:lastModifiedBy>Fantová Jitka, Ing.</cp:lastModifiedBy>
  <cp:revision>2</cp:revision>
  <cp:lastPrinted>2024-11-25T11:35:00Z</cp:lastPrinted>
  <dcterms:created xsi:type="dcterms:W3CDTF">2024-12-06T10:07:00Z</dcterms:created>
  <dcterms:modified xsi:type="dcterms:W3CDTF">2024-12-06T10:07:00Z</dcterms:modified>
</cp:coreProperties>
</file>