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PHS Česká Lípa - selektivní kácení nebezpečných stromů II.</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PHS Česká Lípa - selektivní kácení nebezpečných stromů II.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Petr Horyna, IČO: 46793721 </w:t>
      </w: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tabs>
          <w:tab w:leader="dot" w:pos="2998" w:val="left"/>
        </w:tabs>
        <w:bidi w:val="0"/>
        <w:spacing w:before="0" w:after="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460375" cy="228600"/>
                <wp:wrapSquare wrapText="bothSides"/>
                <wp:docPr id="1" name="Shape 1"/>
                <a:graphic xmlns:a="http://schemas.openxmlformats.org/drawingml/2006/main">
                  <a:graphicData uri="http://schemas.microsoft.com/office/word/2010/wordprocessingShape">
                    <wps:wsp>
                      <wps:cNvSpPr txBox="1"/>
                      <wps:spPr>
                        <a:xfrm>
                          <a:ext cx="460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36.25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120" w:line="240" w:lineRule="auto"/>
        <w:ind w:left="146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