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4" w:name="bookmark4"/>
      <w:r>
        <w:rPr>
          <w:rStyle w:val="CharStyle12"/>
        </w:rPr>
        <w:t>iiiiiiiiiiiiiiiimiiiiii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180" w:firstLine="0"/>
        <w:jc w:val="right"/>
      </w:pPr>
      <w:r>
        <w:rPr>
          <w:rStyle w:val="CharStyle6"/>
        </w:rPr>
        <w:t>2024009843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  <w:u w:val="single"/>
        </w:rPr>
        <w:t>RÁMCOVÁ KUPNÍ SMLOUVA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312" w:lineRule="auto"/>
        <w:ind w:left="2020" w:right="0" w:hanging="1280"/>
        <w:jc w:val="left"/>
      </w:pPr>
      <w:r>
        <w:rPr>
          <w:rStyle w:val="CharStyle3"/>
        </w:rPr>
        <w:t>uzavřená v souladu s ustanovením § 2079 a násl. zákona č. 89/2012 Sb., občanský zákoník, mezi níže uvedenými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12700</wp:posOffset>
                </wp:positionV>
                <wp:extent cx="1642745" cy="14566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456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299999999999997pt;margin-top:1.pt;width:129.34999999999999pt;height:114.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Kamenice 798/1 d, 625 00 Brno 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  <w:spacing w:val="3"/>
          <w:shd w:val="clear" w:color="auto" w:fill="000000"/>
        </w:rPr>
        <w:t>...</w:t>
      </w:r>
      <w:r>
        <w:rPr>
          <w:rStyle w:val="CharStyle3"/>
          <w:spacing w:val="4"/>
          <w:shd w:val="clear" w:color="auto" w:fill="000000"/>
        </w:rPr>
        <w:t>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pacing w:val="2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3"/>
          <w:u w:val="single"/>
          <w:shd w:val="clear" w:color="auto" w:fill="000000"/>
        </w:rPr>
        <w:t>..</w:t>
      </w:r>
      <w:r>
        <w:rPr>
          <w:rStyle w:val="CharStyle3"/>
          <w:spacing w:val="4"/>
          <w:u w:val="single"/>
          <w:shd w:val="clear" w:color="auto" w:fill="000000"/>
        </w:rPr>
        <w:t>...........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spacing w:val="1"/>
          <w:u w:val="single"/>
          <w:shd w:val="clear" w:color="auto" w:fill="000000"/>
        </w:rPr>
        <w:t>..</w:t>
      </w:r>
      <w:r>
        <w:rPr>
          <w:rStyle w:val="CharStyle3"/>
          <w:spacing w:val="2"/>
          <w:u w:val="single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..​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  <w:r>
        <w:rPr>
          <w:rStyle w:val="CharStyle3"/>
        </w:rPr>
        <w:t xml:space="preserve"> 00346292 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86" w:lineRule="auto"/>
        <w:ind w:left="0" w:right="0" w:firstLine="0"/>
        <w:jc w:val="left"/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</w:rPr>
        <w:t>„kupující")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12700</wp:posOffset>
                </wp:positionV>
                <wp:extent cx="1645920" cy="17614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61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„prodávající")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299999999999997pt;margin-top:1.pt;width:129.59999999999999pt;height:138.70000000000002pt;z-index:-12582937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„prodávající")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Teleflex Medical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Pražská třída 209/182, Plačíce, 500 04 Hradec Králové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Martin Hlaváček,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spacing w:val="1"/>
          <w:shd w:val="clear" w:color="auto" w:fill="000000"/>
        </w:rPr>
        <w:t>..</w:t>
      </w:r>
      <w:r>
        <w:rPr>
          <w:rStyle w:val="CharStyle3"/>
          <w:spacing w:val="2"/>
          <w:shd w:val="clear" w:color="auto" w:fill="000000"/>
        </w:rPr>
        <w:t>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5"/>
          <w:shd w:val="clear" w:color="auto" w:fill="000000"/>
        </w:rPr>
        <w:t>.........</w:t>
      </w:r>
      <w:r>
        <w:rPr>
          <w:rStyle w:val="CharStyle3"/>
          <w:spacing w:val="6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</w:t>
      </w:r>
      <w:r>
        <w:rPr>
          <w:rStyle w:val="CharStyle3"/>
          <w:spacing w:val="2"/>
          <w:shd w:val="clear" w:color="auto" w:fill="000000"/>
        </w:rPr>
        <w:t>..........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</w:rPr>
        <w:t>​.....................</w:t>
      </w:r>
      <w:r>
        <w:rPr>
          <w:rStyle w:val="CharStyle3"/>
          <w:spacing w:val="1"/>
          <w:u w:val="single"/>
          <w:shd w:val="clear" w:color="auto" w:fill="000000"/>
        </w:rPr>
        <w:t>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u w:val="single"/>
          <w:shd w:val="clear" w:color="auto" w:fill="000000"/>
        </w:rPr>
        <w:t>............</w:t>
      </w:r>
      <w:r>
        <w:rPr>
          <w:rStyle w:val="CharStyle3"/>
          <w:spacing w:val="1"/>
          <w:u w:val="single"/>
          <w:shd w:val="clear" w:color="auto" w:fill="000000"/>
        </w:rPr>
        <w:t>.......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spacing w:val="5"/>
          <w:shd w:val="clear" w:color="auto" w:fill="000000"/>
        </w:rPr>
        <w:t>.....</w:t>
      </w:r>
      <w:r>
        <w:rPr>
          <w:rStyle w:val="CharStyle3"/>
          <w:spacing w:val="6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​.......​.......​......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28849809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CZ28849809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Krajský soud v Hradci Králové, sp. zn. O 30847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Unicredit Bank Czech Republic and Slovakia,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rStyle w:val="CharStyle3"/>
        </w:rPr>
        <w:t>č. ú. 2107845037/2700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 xml:space="preserve">Prodávající je oprávněn na základě svého vlastnického práva nakládat se zbožím v podobě </w:t>
      </w:r>
      <w:r>
        <w:rPr>
          <w:rStyle w:val="CharStyle3"/>
          <w:b/>
          <w:bCs/>
        </w:rPr>
        <w:t xml:space="preserve">koniotomických setů, </w:t>
      </w:r>
      <w:r>
        <w:rPr>
          <w:rStyle w:val="CharStyle3"/>
        </w:rPr>
        <w:t>jejichž bližší specifikace je uvedena v příloze č. 1 této smlouvy, která je její nedílnou součástí.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380" w:right="0" w:hanging="38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Součásti dodávky zboží podle čl. 1 a čl. 2 této smlouvy je vždy předání veškerých písemných dokladů, které jsou potřebné k používání tohoto zboží. Dodané zboží musí splňovat požadavky na jakost, neporušenost balení a řádné označení 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80" w:line="286" w:lineRule="auto"/>
        <w:ind w:left="380" w:right="0" w:hanging="38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10-ti pracovních dní </w:t>
      </w:r>
      <w:r>
        <w:rPr>
          <w:rStyle w:val="CharStyle3"/>
        </w:rPr>
        <w:t>ode dne účinnosti příslušné dílčí kupní smlouvy, nebude-li dohodnuto jinak. Tento závazek se bude považovat za splněný po předání a převzetí příslušného zboží formou písemného předávacího protokolu. Místem plnění je centrální sklad v sídle kupujícího.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3"/>
        </w:rPr>
        <w:t>Kupující se zavazuje zaplatit prodávajícímu za předmět koupě a prodeje podle čl. 1 této smlouvy kupní 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3"/>
        </w:rPr>
        <w:t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</w:t>
      </w:r>
      <w:r>
        <w:rPr>
          <w:rStyle w:val="CharStyle3"/>
          <w:shd w:val="clear" w:color="auto" w:fill="000000"/>
        </w:rPr>
        <w:t>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2"/>
          <w:u w:val="single"/>
          <w:shd w:val="clear" w:color="auto" w:fill="000000"/>
        </w:rPr>
        <w:t>...</w:t>
      </w:r>
      <w:r>
        <w:rPr>
          <w:rStyle w:val="CharStyle3"/>
          <w:spacing w:val="3"/>
          <w:u w:val="single"/>
          <w:shd w:val="clear" w:color="auto" w:fill="000000"/>
        </w:rPr>
        <w:t>............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spacing w:val="1"/>
          <w:u w:val="single"/>
          <w:shd w:val="clear" w:color="auto" w:fill="000000"/>
        </w:rPr>
        <w:t>..</w:t>
      </w:r>
      <w:r>
        <w:rPr>
          <w:rStyle w:val="CharStyle3"/>
          <w:spacing w:val="2"/>
          <w:u w:val="single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.​...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3"/>
          <w:u w:val="single"/>
          <w:shd w:val="clear" w:color="auto" w:fill="000000"/>
        </w:rPr>
        <w:t>..</w:t>
      </w:r>
      <w:r>
        <w:rPr>
          <w:rStyle w:val="CharStyle3"/>
          <w:spacing w:val="4"/>
          <w:u w:val="single"/>
          <w:shd w:val="clear" w:color="auto" w:fill="000000"/>
        </w:rPr>
        <w:t>...........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5"/>
          <w:u w:val="single"/>
          <w:shd w:val="clear" w:color="auto" w:fill="000000"/>
        </w:rPr>
        <w:t>....</w:t>
      </w:r>
      <w:r>
        <w:rPr>
          <w:rStyle w:val="CharStyle3"/>
          <w:spacing w:val="1"/>
          <w:u w:val="single"/>
          <w:shd w:val="clear" w:color="auto" w:fill="000000"/>
        </w:rPr>
        <w:t>..</w:t>
      </w:r>
      <w:r>
        <w:rPr>
          <w:rStyle w:val="CharStyle3"/>
          <w:spacing w:val="2"/>
          <w:u w:val="single"/>
          <w:shd w:val="clear" w:color="auto" w:fill="000000"/>
        </w:rPr>
        <w:t>.............</w:t>
      </w:r>
      <w:r>
        <w:rPr>
          <w:rStyle w:val="CharStyle3"/>
          <w:shd w:val="clear" w:color="auto" w:fill="000000"/>
        </w:rPr>
        <w:t>.</w:t>
      </w:r>
      <w:r>
        <w:rPr>
          <w:rStyle w:val="CharStyle3"/>
          <w:color w:val="7898CD"/>
        </w:rPr>
        <w:t xml:space="preserve">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P24V00003567. </w:t>
      </w:r>
      <w:r>
        <w:rPr>
          <w:rStyle w:val="CharStyle3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S převodem zboží je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5-ti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  <w:tab w:pos="7644" w:val="left"/>
        </w:tabs>
        <w:bidi w:val="0"/>
        <w:spacing w:before="0" w:after="0"/>
        <w:ind w:left="84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dílčí kupní smlouvy i od této smlouvy s účinky ex tunc.</w:t>
        <w:tab/>
        <w:t>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1" w:lineRule="auto"/>
        <w:ind w:left="7640" w:right="0" w:firstLine="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&gt;(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 w:line="286" w:lineRule="auto"/>
        <w:ind w:left="84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/>
        <w:ind w:left="840" w:right="0" w:hanging="380"/>
        <w:jc w:val="both"/>
      </w:pPr>
      <w:r>
        <w:rPr>
          <w:rStyle w:val="CharStyle3"/>
        </w:rPr>
        <w:t>Není-Ii touto smlouvou ujednáno jinak, řídí se vzájemný právní vztah mezi kupujícím a prodávajícím při realizaci této smlouvy § 2079 až 2131 násl. občanského zákoníku, přičemžjtato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  <w:tab w:pos="7644" w:val="left"/>
        </w:tabs>
        <w:bidi w:val="0"/>
        <w:spacing w:before="0"/>
        <w:ind w:left="840" w:right="0" w:hanging="38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celém jejím obsahu jak je obsažen v jejích článcích 1 až 22. Kupující přitom předem vylučuje přijetí tohoto návrhu s dodatkem nebo odchylkou ve smyslu § 1740 odst. 3 občanského zákoníku.</w:t>
        <w:tab/>
      </w:r>
      <w:r>
        <w:rPr>
          <w:rStyle w:val="CharStyle3"/>
          <w:vertAlign w:val="superscript"/>
        </w:rPr>
        <w:t>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  <w:tab w:pos="7644" w:val="left"/>
        </w:tabs>
        <w:bidi w:val="0"/>
        <w:spacing w:before="0" w:after="0" w:line="283" w:lineRule="auto"/>
        <w:ind w:left="840" w:right="0" w:hanging="38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640" w:right="0" w:firstLine="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 w:line="283" w:lineRule="auto"/>
        <w:ind w:left="840" w:right="0" w:hanging="38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 w:after="0" w:line="283" w:lineRule="auto"/>
        <w:ind w:left="840" w:right="0" w:hanging="38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61" w:lineRule="auto"/>
        <w:ind w:left="7640" w:right="0" w:firstLine="2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i j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/>
        <w:ind w:left="840" w:right="0" w:hanging="380"/>
        <w:jc w:val="both"/>
      </w:pPr>
      <w:r>
        <w:rPr>
          <w:rStyle w:val="CharStyle3"/>
        </w:rPr>
        <w:t>Tato smlouva nabývá účinnosti po jejím podpisu oběma smluvními stranami dnem jejího uveřejnění v Registru smluv, nejdříve však 1.1. 2025.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3" w:val="left"/>
        </w:tabs>
        <w:bidi w:val="0"/>
        <w:spacing w:before="0" w:after="0"/>
        <w:ind w:left="0" w:right="0" w:firstLine="440"/>
        <w:jc w:val="both"/>
      </w:pPr>
      <w:r>
        <w:rPr>
          <w:rStyle w:val="CharStyle3"/>
        </w:rPr>
        <w:t xml:space="preserve">Tato smlouva se uzavírá na dobu určitou, a to do </w:t>
      </w:r>
      <w:r>
        <w:rPr>
          <w:rStyle w:val="CharStyle3"/>
          <w:b/>
          <w:bCs/>
        </w:rPr>
        <w:t>31.12. 2026.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7640" w:right="0" w:firstLine="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ř;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3" w:val="left"/>
        </w:tabs>
        <w:bidi w:val="0"/>
        <w:spacing w:before="0" w:after="120"/>
        <w:ind w:left="840" w:right="0" w:hanging="380"/>
        <w:jc w:val="both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134" w:lineRule="auto"/>
        <w:ind w:left="7640" w:right="0" w:firstLine="20"/>
        <w:jc w:val="both"/>
        <w:rPr>
          <w:sz w:val="18"/>
          <w:szCs w:val="18"/>
        </w:rPr>
      </w:pPr>
      <w:r>
        <w:rPr>
          <w:rStyle w:val="CharStyle3"/>
          <w:sz w:val="18"/>
          <w:szCs w:val="18"/>
        </w:rPr>
        <w:t>i li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224" w:val="left"/>
          <w:tab w:pos="5387" w:val="left"/>
        </w:tabs>
        <w:bidi w:val="0"/>
        <w:spacing w:before="0" w:after="180"/>
        <w:ind w:left="0" w:right="0" w:firstLine="520"/>
        <w:jc w:val="both"/>
      </w:pPr>
      <w:r>
        <w:rPr>
          <w:rStyle w:val="CharStyle3"/>
        </w:rPr>
        <w:t>V Brně dne</w:t>
        <w:tab/>
        <w:tab/>
        <w:t>V Hradci Králové dne ’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46380" distB="0" distL="0" distR="0" simplePos="0" relativeHeight="125829382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246380</wp:posOffset>
                </wp:positionV>
                <wp:extent cx="2429510" cy="11461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9510" cy="1146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0" w:lineRule="atLeas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sz w:val="34"/>
                                <w:szCs w:val="34"/>
                              </w:rPr>
                              <w:t>ft/ll 1—1</w:t>
                            </w:r>
                            <w:r>
                              <w:rPr>
                                <w:rStyle w:val="CharStyle6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CharStyle6"/>
                                <w:sz w:val="34"/>
                                <w:szCs w:val="34"/>
                              </w:rPr>
                              <w:t xml:space="preserve">MUDr. Han a </w:t>
                            </w:r>
                            <w:r>
                              <w:rPr>
                                <w:rStyle w:val="CharStyle6"/>
                                <w:sz w:val="34"/>
                                <w:szCs w:val="34"/>
                                <w:vertAlign w:val="subscript"/>
                              </w:rPr>
                              <w:t xml:space="preserve">MUDr Hana </w:t>
                            </w:r>
                            <w:r>
                              <w:rPr>
                                <w:rStyle w:val="CharStyle6"/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rStyle w:val="CharStyle6"/>
                              </w:rPr>
                              <w:t>ib</w:t>
                            </w:r>
                            <w:r>
                              <w:rPr>
                                <w:rStyle w:val="CharStyle6"/>
                                <w:vertAlign w:val="subscript"/>
                              </w:rPr>
                              <w:t>reC</w:t>
                            </w:r>
                            <w:r>
                              <w:rPr>
                                <w:rStyle w:val="CharStyle6"/>
                              </w:rPr>
                              <w:t>htová</w:t>
                            </w:r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9"/>
                              </w:rPr>
                              <w:t>Albrechtová?^^</w:t>
                            </w:r>
                            <w:r>
                              <w:rPr>
                                <w:rStyle w:val="CharStyle9"/>
                                <w:vertAlign w:val="superscript"/>
                              </w:rPr>
                              <w:t>29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22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86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2.5pt;margin-top:19.400000000000002pt;width:191.30000000000001pt;height:90.25pt;z-index:-125829371;mso-wrap-distance-left:0;mso-wrap-distance-top:19.4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0" w:lineRule="atLeast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z w:val="34"/>
                          <w:szCs w:val="34"/>
                        </w:rPr>
                        <w:t>ft/ll 1—1</w:t>
                      </w:r>
                      <w:r>
                        <w:rPr>
                          <w:rStyle w:val="CharStyle6"/>
                        </w:rPr>
                        <w:t xml:space="preserve">Digitálně podepsal </w:t>
                      </w:r>
                      <w:r>
                        <w:rPr>
                          <w:rStyle w:val="CharStyle6"/>
                          <w:sz w:val="34"/>
                          <w:szCs w:val="34"/>
                        </w:rPr>
                        <w:t xml:space="preserve">MUDr. Han a </w:t>
                      </w:r>
                      <w:r>
                        <w:rPr>
                          <w:rStyle w:val="CharStyle6"/>
                          <w:sz w:val="34"/>
                          <w:szCs w:val="34"/>
                          <w:vertAlign w:val="subscript"/>
                        </w:rPr>
                        <w:t xml:space="preserve">MUDr Hana </w:t>
                      </w:r>
                      <w:r>
                        <w:rPr>
                          <w:rStyle w:val="CharStyle6"/>
                          <w:vertAlign w:val="subscript"/>
                        </w:rPr>
                        <w:t>A</w:t>
                      </w:r>
                      <w:r>
                        <w:rPr>
                          <w:rStyle w:val="CharStyle6"/>
                        </w:rPr>
                        <w:t>ib</w:t>
                      </w:r>
                      <w:r>
                        <w:rPr>
                          <w:rStyle w:val="CharStyle6"/>
                          <w:vertAlign w:val="subscript"/>
                        </w:rPr>
                        <w:t>reC</w:t>
                      </w:r>
                      <w:r>
                        <w:rPr>
                          <w:rStyle w:val="CharStyle6"/>
                        </w:rPr>
                        <w:t>htová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9"/>
                        </w:rPr>
                        <w:t>Albrechtová?^^</w:t>
                      </w:r>
                      <w:r>
                        <w:rPr>
                          <w:rStyle w:val="CharStyle9"/>
                          <w:vertAlign w:val="superscript"/>
                        </w:rPr>
                        <w:t>29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22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86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5900" distB="624840" distL="0" distR="0" simplePos="0" relativeHeight="125829384" behindDoc="0" locked="0" layoutInCell="1" allowOverlap="1">
                <wp:simplePos x="0" y="0"/>
                <wp:positionH relativeFrom="page">
                  <wp:posOffset>4348480</wp:posOffset>
                </wp:positionH>
                <wp:positionV relativeFrom="paragraph">
                  <wp:posOffset>215900</wp:posOffset>
                </wp:positionV>
                <wp:extent cx="1645920" cy="5518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2" w:name="bookmark2"/>
                            <w:r>
                              <w:rPr>
                                <w:rStyle w:val="CharStyle9"/>
                              </w:rPr>
                              <w:t>Martin</w:t>
                            </w:r>
                            <w:bookmarkEnd w:id="2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^Martin Hlaváček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6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UI</w:t>
                              <w:tab/>
                              <w:t>X- U bate:^024.í 1.15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sz w:val="15"/>
                                <w:szCs w:val="15"/>
                              </w:rPr>
                              <w:t>n i a va ue j 034:00 +oi 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2.40000000000003pt;margin-top:17.pt;width:129.59999999999999pt;height:43.450000000000003pt;z-index:-125829369;mso-wrap-distance-left:0;mso-wrap-distance-top:17.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" w:name="bookmark2"/>
                      <w:r>
                        <w:rPr>
                          <w:rStyle w:val="CharStyle9"/>
                        </w:rPr>
                        <w:t>Martin</w:t>
                      </w:r>
                      <w:bookmarkEnd w:id="2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^Martin Hlaváček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6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UI</w:t>
                        <w:tab/>
                        <w:t>X- U bate:^024.í 1.15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6"/>
                          <w:sz w:val="15"/>
                          <w:szCs w:val="15"/>
                        </w:rPr>
                        <w:t>n i a va ue j 034:00 +oi 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8525" distB="344805" distL="0" distR="0" simplePos="0" relativeHeight="125829386" behindDoc="0" locked="0" layoutInCell="1" allowOverlap="1">
                <wp:simplePos x="0" y="0"/>
                <wp:positionH relativeFrom="page">
                  <wp:posOffset>4284980</wp:posOffset>
                </wp:positionH>
                <wp:positionV relativeFrom="paragraph">
                  <wp:posOffset>898525</wp:posOffset>
                </wp:positionV>
                <wp:extent cx="914400" cy="149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Martin Hlaváček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7.40000000000003pt;margin-top:70.75pt;width:72.pt;height:11.75pt;z-index:-125829367;mso-wrap-distance-left:0;mso-wrap-distance-top:70.75pt;mso-wrap-distance-right:0;mso-wrap-distance-bottom:27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Martin Hlaváček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60450" distB="5715" distL="0" distR="0" simplePos="0" relativeHeight="125829388" behindDoc="0" locked="0" layoutInCell="1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1060450</wp:posOffset>
                </wp:positionV>
                <wp:extent cx="713105" cy="3263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6.40000000000003pt;margin-top:83.5pt;width:56.149999999999999pt;height:25.699999999999999pt;z-index:-125829365;mso-wrap-distance-left:0;mso-wrap-distance-top:83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Specifikace, ceník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rStyle w:val="CharStyle35"/>
          <w:b/>
          <w:bCs/>
        </w:rPr>
        <w:t>Interní číslo kupujícího: 24228</w:t>
      </w:r>
      <w:bookmarkEnd w:id="6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35"/>
          <w:b/>
          <w:bCs/>
        </w:rPr>
        <w:t>Specifikace:</w:t>
      </w:r>
    </w:p>
    <w:tbl>
      <w:tblPr>
        <w:tblOverlap w:val="never"/>
        <w:jc w:val="center"/>
        <w:tblLayout w:type="fixed"/>
      </w:tblPr>
      <w:tblGrid>
        <w:gridCol w:w="557"/>
        <w:gridCol w:w="5136"/>
        <w:gridCol w:w="294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DF6B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b/>
                <w:bCs/>
                <w:color w:val="53473B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F6B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b/>
                <w:bCs/>
                <w:color w:val="53473B"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6B5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b/>
                <w:bCs/>
                <w:color w:val="53473B"/>
              </w:rPr>
              <w:t>Účastníkem nabízená hodnota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7"/>
              </w:rPr>
              <w:t>Sada pro koniopunkci - quicktrach na jedno použití - dětský, sterilní.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i/>
                <w:iCs/>
              </w:rPr>
              <w:t>120600-000020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7"/>
              </w:rPr>
              <w:t>Průměr LD. pro dítě 2,0 mm.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i/>
                <w:iCs/>
              </w:rPr>
              <w:t>ANO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7"/>
              </w:rPr>
              <w:t>Baleno sterilně po jednom kusu v pevném plastovém obalu.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i/>
                <w:iCs/>
              </w:rPr>
              <w:t>ANO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7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7"/>
              </w:rPr>
              <w:t xml:space="preserve">Evidence kódem v číselníku VZP a jsou pojišťovnou </w:t>
            </w:r>
            <w:r>
              <w:rPr>
                <w:rStyle w:val="CharStyle37"/>
                <w:b/>
                <w:bCs/>
              </w:rPr>
              <w:t xml:space="preserve">plně hrazeny </w:t>
            </w:r>
            <w:r>
              <w:rPr>
                <w:rStyle w:val="CharStyle37"/>
              </w:rPr>
              <w:t>z tohoto veřejného zdravotního pojištění.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7"/>
                <w:i/>
                <w:iCs/>
              </w:rPr>
              <w:t>037971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bookmarkStart w:id="9" w:name="bookmark9"/>
      <w:r>
        <w:rPr>
          <w:rStyle w:val="CharStyle35"/>
          <w:b/>
          <w:bCs/>
        </w:rPr>
        <w:t xml:space="preserve">Obchodní označení položky: </w:t>
      </w:r>
      <w:r>
        <w:rPr>
          <w:rStyle w:val="CharStyle35"/>
          <w:b/>
          <w:bCs/>
          <w:i/>
          <w:iCs/>
          <w:sz w:val="19"/>
          <w:szCs w:val="19"/>
        </w:rPr>
        <w:t>TracheoQuick</w:t>
      </w:r>
      <w:bookmarkEnd w:id="9"/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5"/>
          <w:b/>
          <w:bCs/>
        </w:rPr>
        <w:t xml:space="preserve">Třída dle MDR (2017/745/EU): </w:t>
      </w:r>
      <w:r>
        <w:rPr>
          <w:rStyle w:val="CharStyle35"/>
          <w:b/>
          <w:bCs/>
          <w:i/>
          <w:iCs/>
          <w:sz w:val="19"/>
          <w:szCs w:val="19"/>
        </w:rPr>
        <w:t>lia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5"/>
          <w:b/>
          <w:bCs/>
        </w:rPr>
        <w:t>Ceník: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Jednotková cena v Kč bez DPH:</w:t>
        <w:tab/>
      </w:r>
      <w:r>
        <w:rPr>
          <w:rStyle w:val="CharStyle3"/>
          <w:b/>
          <w:bCs/>
          <w:i/>
          <w:iCs/>
        </w:rPr>
        <w:t>2 569,50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80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3"/>
        </w:rPr>
        <w:t>Jednotková cena v Kč včetně DPH:</w:t>
        <w:tab/>
      </w:r>
      <w:r>
        <w:rPr>
          <w:rStyle w:val="CharStyle3"/>
          <w:b/>
          <w:bCs/>
        </w:rPr>
        <w:t>2 877,84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498" w:right="1180" w:bottom="1607" w:left="1321" w:header="7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10021570</wp:posOffset>
              </wp:positionV>
              <wp:extent cx="3779520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795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DNS na zdravotnický spotřební materiál - VZ.: koniotomické sety 2025 - 2026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7.5pt;margin-top:789.10000000000002pt;width:297.60000000000002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DNS na zdravotnický spotřební materiál - VZ.: koniotomické sety 2025 - 2026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Nadpis #2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Nadpis #3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7">
    <w:name w:val="Jiné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20"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auto"/>
      <w:spacing w:after="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after="40"/>
      <w:ind w:right="118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4">
    <w:name w:val="Nadpis #3"/>
    <w:basedOn w:val="Normal"/>
    <w:link w:val="CharStyle35"/>
    <w:pPr>
      <w:widowControl w:val="0"/>
      <w:shd w:val="clear" w:color="auto" w:fill="auto"/>
      <w:spacing w:after="2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6">
    <w:name w:val="Jiné"/>
    <w:basedOn w:val="Normal"/>
    <w:link w:val="CharStyle37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