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13360" distL="114300" distR="114300" simplePos="0" relativeHeight="125829378" behindDoc="0" locked="0" layoutInCell="1" allowOverlap="1">
            <wp:simplePos x="0" y="0"/>
            <wp:positionH relativeFrom="page">
              <wp:posOffset>5605780</wp:posOffset>
            </wp:positionH>
            <wp:positionV relativeFrom="paragraph">
              <wp:posOffset>12700</wp:posOffset>
            </wp:positionV>
            <wp:extent cx="1487170" cy="40830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5767070</wp:posOffset>
                </wp:positionH>
                <wp:positionV relativeFrom="paragraph">
                  <wp:posOffset>485140</wp:posOffset>
                </wp:positionV>
                <wp:extent cx="597535" cy="1460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2024009844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4.10000000000002pt;margin-top:38.200000000000003pt;width:47.050000000000004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2024009844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5"/>
          <w:b/>
          <w:bCs/>
        </w:rPr>
        <w:t>RÁMCOVÁ KUPNÍ SMLOUVA</w:t>
      </w:r>
      <w:bookmarkEnd w:id="0"/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2" w:name="bookmark2"/>
      <w:r>
        <w:rPr>
          <w:rStyle w:val="CharStyle11"/>
        </w:rPr>
        <w:t>uzavřená v souladu s ustanovením § 2079 a násl. zákona č. 89/2012 Sb., občanský zákoník, 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2664"/>
        <w:gridCol w:w="6182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spacing w:val="3"/>
                <w:shd w:val="clear" w:color="auto" w:fill="000000"/>
              </w:rPr>
              <w:t>...</w:t>
            </w:r>
            <w:r>
              <w:rPr>
                <w:rStyle w:val="CharStyle16"/>
                <w:spacing w:val="4"/>
                <w:shd w:val="clear" w:color="auto" w:fill="000000"/>
              </w:rPr>
              <w:t>........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"/>
                <w:shd w:val="clear" w:color="auto" w:fill="000000"/>
              </w:rPr>
              <w:t>.........</w:t>
            </w:r>
            <w:r>
              <w:rPr>
                <w:rStyle w:val="CharStyle16"/>
                <w:spacing w:val="2"/>
                <w:shd w:val="clear" w:color="auto" w:fill="000000"/>
              </w:rPr>
              <w:t>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shd w:val="clear" w:color="auto" w:fill="000000"/>
              </w:rPr>
              <w:t>......</w:t>
            </w:r>
            <w:r>
              <w:rPr>
                <w:rStyle w:val="CharStyle16"/>
                <w:u w:val="single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u w:val="single"/>
                <w:shd w:val="clear" w:color="auto" w:fill="000000"/>
              </w:rPr>
              <w:t>..</w:t>
            </w:r>
            <w:r>
              <w:rPr>
                <w:rStyle w:val="CharStyle16"/>
                <w:spacing w:val="4"/>
                <w:u w:val="single"/>
                <w:shd w:val="clear" w:color="auto" w:fill="000000"/>
              </w:rPr>
              <w:t>...........</w:t>
            </w:r>
            <w:r>
              <w:rPr>
                <w:rStyle w:val="CharStyle16"/>
                <w:u w:val="single"/>
                <w:shd w:val="clear" w:color="auto" w:fill="000000"/>
              </w:rPr>
              <w:t>​</w:t>
            </w:r>
            <w:r>
              <w:rPr>
                <w:rStyle w:val="CharStyle16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CharStyle16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CharStyle16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CharStyle16"/>
                <w:shd w:val="clear" w:color="auto" w:fill="000000"/>
              </w:rPr>
              <w:t>..​</w:t>
            </w:r>
            <w:r>
              <w:rPr>
                <w:rStyle w:val="CharStyle16"/>
                <w:spacing w:val="7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</w:rPr>
              <w:t>​....</w:t>
            </w:r>
            <w:r>
              <w:rPr>
                <w:rStyle w:val="CharStyle16"/>
                <w:spacing w:val="1"/>
                <w:shd w:val="clear" w:color="auto" w:fill="000000"/>
              </w:rPr>
              <w:t>.....</w:t>
            </w:r>
            <w:r>
              <w:rPr>
                <w:rStyle w:val="CharStyle16"/>
                <w:shd w:val="clear" w:color="auto" w:fill="000000"/>
              </w:rPr>
              <w:t>​.......​</w:t>
            </w:r>
            <w:r>
              <w:rPr>
                <w:rStyle w:val="CharStyle16"/>
                <w:spacing w:val="6"/>
                <w:shd w:val="clear" w:color="auto" w:fill="000000"/>
              </w:rPr>
              <w:t>...</w:t>
            </w:r>
            <w:r>
              <w:rPr>
                <w:rStyle w:val="CharStyle16"/>
                <w:spacing w:val="7"/>
                <w:shd w:val="clear" w:color="auto" w:fill="000000"/>
              </w:rPr>
              <w:t>...</w:t>
            </w:r>
            <w:r>
              <w:rPr>
                <w:rStyle w:val="CharStyle16"/>
                <w:shd w:val="clear" w:color="auto" w:fill="000000"/>
              </w:rPr>
              <w:t>​......</w:t>
            </w:r>
          </w:p>
        </w:tc>
      </w:tr>
      <w:tr>
        <w:trPr>
          <w:trHeight w:val="7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00346292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CZ00346292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MONETA Money Bank, a.s., č. ú. 117203514/0600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3"/>
          <w:sz w:val="19"/>
          <w:szCs w:val="19"/>
        </w:rPr>
        <w:t xml:space="preserve">(dále jen </w:t>
      </w:r>
      <w:r>
        <w:rPr>
          <w:rStyle w:val="CharStyle13"/>
          <w:b/>
          <w:bCs/>
          <w:i/>
          <w:iCs/>
        </w:rPr>
        <w:t>„kupující 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6178"/>
      </w:tblGrid>
      <w:tr>
        <w:trPr>
          <w:trHeight w:val="5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MEDISTYL - PHARMA a.s.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Táborská 325/57, Nusle, 140 00 Praha 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RNDr. Ing. Jaroslav Řehák, CSc., předseda představenstva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spacing w:val="7"/>
                <w:shd w:val="clear" w:color="auto" w:fill="000000"/>
              </w:rPr>
              <w:t>......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2"/>
                <w:shd w:val="clear" w:color="auto" w:fill="000000"/>
              </w:rPr>
              <w:t>.........</w:t>
            </w:r>
            <w:r>
              <w:rPr>
                <w:rStyle w:val="CharStyle16"/>
                <w:spacing w:val="3"/>
                <w:shd w:val="clear" w:color="auto" w:fill="000000"/>
              </w:rPr>
              <w:t>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8"/>
                <w:shd w:val="clear" w:color="auto" w:fill="000000"/>
              </w:rPr>
              <w:t>....</w:t>
            </w:r>
            <w:r>
              <w:rPr>
                <w:rStyle w:val="CharStyle16"/>
                <w:spacing w:val="9"/>
                <w:shd w:val="clear" w:color="auto" w:fill="000000"/>
              </w:rPr>
              <w:t>.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61855782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CZ61855782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Městský soud v Praze, v oddílu B, vložka 19063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6551240227/0100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3"/>
          <w:sz w:val="19"/>
          <w:szCs w:val="19"/>
        </w:rPr>
        <w:t xml:space="preserve">(dále jen </w:t>
      </w:r>
      <w:r>
        <w:rPr>
          <w:rStyle w:val="CharStyle13"/>
          <w:b/>
          <w:bCs/>
          <w:i/>
          <w:iCs/>
        </w:rPr>
        <w:t>„prodávající'</w:t>
      </w:r>
    </w:p>
    <w:p>
      <w:pPr>
        <w:widowControl w:val="0"/>
        <w:spacing w:after="699" w:line="1" w:lineRule="exact"/>
      </w:pP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4"/>
        </w:rPr>
        <w:t>Prodávající je oprávněn na základě svého vlastnického práva nakládat se zbožím v podobě zdravotnického spotřebního materiálu, jehož bližší specifikace je uvedena v příloze č. 1 této smlouvy, která je její nedílnou součástí.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4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4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40" w:line="286" w:lineRule="auto"/>
        <w:ind w:left="400" w:right="0" w:hanging="400"/>
        <w:jc w:val="both"/>
      </w:pPr>
      <w:r>
        <w:rPr>
          <w:rStyle w:val="CharStyle34"/>
        </w:rPr>
        <w:t xml:space="preserve">Prodávající se zavazuje plnit svůj závazek k dodání zboží podle čl. 1 této smlouvy vždy nejpozději do </w:t>
      </w:r>
      <w:r>
        <w:rPr>
          <w:rStyle w:val="CharStyle34"/>
          <w:b/>
          <w:bCs/>
        </w:rPr>
        <w:t xml:space="preserve">5-ti pracovních dní </w:t>
      </w:r>
      <w:r>
        <w:rPr>
          <w:rStyle w:val="CharStyle34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sídle kupujícího.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4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4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4"/>
        </w:rPr>
        <w:t>Kupující se zavazuje zaplatit prodávajícímu za předmět koupě a prodeje podle čl. 1 této smlouvy kupní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34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34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4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4"/>
          <w:shd w:val="clear" w:color="auto" w:fill="000000"/>
          <w:lang w:val="en-US" w:eastAsia="en-US" w:bidi="en-US"/>
        </w:rPr>
        <w:t>.</w:t>
      </w:r>
      <w:r>
        <w:rPr>
          <w:rStyle w:val="CharStyle34"/>
          <w:shd w:val="clear" w:color="auto" w:fill="000000"/>
        </w:rPr>
        <w:t>​...</w:t>
      </w:r>
      <w:r>
        <w:rPr>
          <w:rStyle w:val="CharStyle34"/>
          <w:u w:val="single"/>
          <w:shd w:val="clear" w:color="auto" w:fill="000000"/>
          <w:lang w:val="en-US" w:eastAsia="en-US" w:bidi="en-US"/>
        </w:rPr>
        <w:t>​...........................</w:t>
      </w:r>
      <w:r>
        <w:rPr>
          <w:rStyle w:val="CharStyle34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4"/>
          <w:color w:val="7999CD"/>
          <w:lang w:val="en-US" w:eastAsia="en-US" w:bidi="en-US"/>
        </w:rPr>
        <w:t xml:space="preserve">. </w:t>
      </w:r>
      <w:r>
        <w:rPr>
          <w:rStyle w:val="CharStyle34"/>
        </w:rPr>
        <w:t xml:space="preserve">Na faktuře musí být mimo jiné vždy uvedeno toto číslo veřejné zakázky, ke které se faktura vztahuje: </w:t>
      </w:r>
      <w:r>
        <w:rPr>
          <w:rStyle w:val="CharStyle34"/>
          <w:b/>
          <w:bCs/>
        </w:rPr>
        <w:t xml:space="preserve">P24V00003715. </w:t>
      </w:r>
      <w:r>
        <w:rPr>
          <w:rStyle w:val="CharStyle34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4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34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4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34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34"/>
        </w:rPr>
        <w:t>Pro případ prodlení se splněním jeho závazku k dodání zboží ve lhůtě podle [či. 4 této smlouvy o více, než 1 týden nebo pro případ výskytu neodstranitelné vady resp. výskytu 3 a více vad na jednom kusu zboží, a to i postupně, je kupující oprávněn odstoupit od dílčí kupní smlouvy i od této smlouvy s účinky ex tunc.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34"/>
        </w:rPr>
        <w:t>Pro případ prodlení kupujícího se zaplacením kupní ceny nebo její části ve lhůtě podle či. 8 této smlouvy o víc, než 2 týdny, je prodávající oprávněn od této smlouvy odstoupit s</w:t>
      </w:r>
      <w:r>
        <w:rPr>
          <w:rStyle w:val="CharStyle34"/>
          <w:vertAlign w:val="superscript"/>
        </w:rPr>
        <w:t>!</w:t>
      </w:r>
      <w:r>
        <w:rPr>
          <w:rStyle w:val="CharStyle34"/>
        </w:rPr>
        <w:t xml:space="preserve"> účinky ex tunc.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4"/>
        </w:rPr>
        <w:t>Není-li touto smlouvou ujednáno jinak, řídí se vzájemný právní vztah mezi kupujícím a prodávajícím při realizaci této smlouvy § 2079 až 2131 násl. občanského zákoníku, přičemž (tato právní úprava má přednost před nepsanými obchodními zvyklostmi. Tímto ujednáním se přitorn vylučuje aplikaci § 558 občanského zákoníku na vztah mezi oběma stranami podle této smlouvy: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  <w:tab w:pos="7189" w:val="left"/>
        </w:tabs>
        <w:bidi w:val="0"/>
        <w:spacing w:before="0" w:after="60"/>
        <w:ind w:left="400" w:right="0" w:hanging="400"/>
        <w:jc w:val="both"/>
      </w:pPr>
      <w:r>
        <w:rPr>
          <w:rStyle w:val="CharStyle34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  <w:tab/>
      </w:r>
      <w:r>
        <w:rPr>
          <w:rStyle w:val="CharStyle34"/>
          <w:vertAlign w:val="subscript"/>
        </w:rPr>
        <w:t>;</w:t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firstLine="0"/>
        <w:jc w:val="right"/>
      </w:pPr>
      <w:r>
        <w:rPr>
          <w:rStyle w:val="CharStyle42"/>
        </w:rPr>
        <w:t>li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  <w:tab w:pos="7189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4"/>
        </w:rPr>
        <w:t>Smluvní strany souhlasí se zveřejněním smlouvy v úplném znění, stejně jako s uveřejněním úplného znění případných dohod (dodatků), kterými se smlouva doplňuje, měípí, nahrazuje nebo ruší, a to zejména prostřednictvím Registru smluv v souladu se zákonem č. 340/2015 Sb., o registru smluv, ve znění pozdějších předpisů. Smluvní strany se dohodly, že uveřejnění smlouvy zajistí kupující.</w:t>
        <w:tab/>
        <w:t>!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64" w:lineRule="auto"/>
        <w:ind w:left="0" w:right="0" w:firstLine="0"/>
        <w:jc w:val="both"/>
        <w:rPr>
          <w:sz w:val="9"/>
          <w:szCs w:val="9"/>
        </w:rPr>
      </w:pPr>
      <w:r>
        <w:rPr>
          <w:rStyle w:val="CharStyle34"/>
        </w:rPr>
        <w:t xml:space="preserve">Prodávající uděluje kupujícímu svůj výslovný souhlas se zveřejněním podmínek této smlouvy v rozsahu a za podmínek vyplývajících z příslušných právních předpisů '(zejména zákona č. 106/1999 Sb., o svobodném přístupu k informacím, v platném znění). </w:t>
      </w:r>
      <w:r>
        <w:rPr>
          <w:rStyle w:val="CharStyle34"/>
          <w:rFonts w:ascii="Courier New" w:eastAsia="Courier New" w:hAnsi="Courier New" w:cs="Courier New"/>
          <w:i/>
          <w:iCs/>
          <w:sz w:val="9"/>
          <w:szCs w:val="9"/>
        </w:rPr>
        <w:t>i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/>
        <w:ind w:left="400" w:right="0" w:hanging="400"/>
        <w:jc w:val="both"/>
      </w:pPr>
      <w:r>
        <w:rPr>
          <w:rStyle w:val="CharStyle34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  <w:tab w:pos="7189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4"/>
        </w:rPr>
        <w:t>Tato smlouva nabývá účinnosti po jejím podpisu oběma smluvními stranami dnem jejího uveřejnění v Registru smluv, nejdříve však 1.1. 2025.</w:t>
        <w:tab/>
        <w:t>*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  <w:tab w:pos="7189" w:val="left"/>
        </w:tabs>
        <w:bidi w:val="0"/>
        <w:spacing w:before="0" w:line="286" w:lineRule="auto"/>
        <w:ind w:left="0" w:right="0" w:firstLine="0"/>
        <w:jc w:val="left"/>
      </w:pPr>
      <w:r>
        <w:rPr>
          <w:rStyle w:val="CharStyle34"/>
        </w:rPr>
        <w:t xml:space="preserve">Tato smlouva se uzavírá na dobu určitou, a to do </w:t>
      </w:r>
      <w:r>
        <w:rPr>
          <w:rStyle w:val="CharStyle34"/>
          <w:b/>
          <w:bCs/>
        </w:rPr>
        <w:t>31.12.2026.</w:t>
        <w:tab/>
        <w:t>।</w:t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42"/>
        </w:rPr>
        <w:t>i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  <w:tab w:pos="7189" w:val="left"/>
        </w:tabs>
        <w:bidi w:val="0"/>
        <w:spacing w:before="0" w:after="0"/>
        <w:ind w:left="400" w:right="0" w:hanging="400"/>
        <w:jc w:val="both"/>
      </w:pPr>
      <w:r>
        <w:rPr>
          <w:rStyle w:val="CharStyle34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  <w:tab/>
      </w:r>
      <w:r>
        <w:rPr>
          <w:rStyle w:val="CharStyle34"/>
          <w:vertAlign w:val="superscript"/>
        </w:rPr>
        <w:t>1</w:t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firstLine="0"/>
        <w:jc w:val="right"/>
      </w:pPr>
      <w:r>
        <w:rPr>
          <w:rStyle w:val="CharStyle42"/>
        </w:rPr>
        <w:t>i</w:t>
      </w:r>
    </w:p>
    <w:tbl>
      <w:tblPr>
        <w:tblOverlap w:val="never"/>
        <w:jc w:val="left"/>
        <w:tblLayout w:type="fixed"/>
      </w:tblPr>
      <w:tblGrid>
        <w:gridCol w:w="4488"/>
        <w:gridCol w:w="3312"/>
      </w:tblGrid>
      <w:tr>
        <w:trPr>
          <w:trHeight w:val="4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dot" w:pos="17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V Brně dne</w:t>
              <w:tab/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6"/>
              </w:rPr>
              <w:t>V Praze dne 6.11.2024 |</w:t>
            </w:r>
          </w:p>
        </w:tc>
      </w:tr>
      <w:tr>
        <w:trPr>
          <w:trHeight w:val="11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Style w:val="CharStyle16"/>
                <w:sz w:val="36"/>
                <w:szCs w:val="36"/>
              </w:rPr>
              <w:t>MUDr. Hana~S'</w:t>
            </w:r>
            <w:r>
              <w:rPr>
                <w:rStyle w:val="CharStyle16"/>
                <w:sz w:val="36"/>
                <w:szCs w:val="36"/>
                <w:vertAlign w:val="superscript"/>
              </w:rPr>
              <w:t xml:space="preserve">MUDr </w:t>
            </w:r>
            <w:r>
              <w:rPr>
                <w:rStyle w:val="CharStyle16"/>
                <w:sz w:val="36"/>
                <w:szCs w:val="36"/>
              </w:rPr>
              <w:t>Albrechtova^^™</w:t>
            </w:r>
            <w:r>
              <w:rPr>
                <w:rStyle w:val="CharStyle16"/>
                <w:sz w:val="36"/>
                <w:szCs w:val="36"/>
                <w:vertAlign w:val="superscript"/>
              </w:rPr>
              <w:t>9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52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16"/>
                <w:rFonts w:ascii="Courier New" w:eastAsia="Courier New" w:hAnsi="Courier New" w:cs="Courier New"/>
                <w:i/>
                <w:iCs/>
                <w:sz w:val="9"/>
                <w:szCs w:val="9"/>
              </w:rPr>
              <w:t>X. *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68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sz w:val="20"/>
                <w:szCs w:val="20"/>
              </w:rPr>
              <w:t xml:space="preserve">Inq. RNDr. </w:t>
            </w:r>
            <w:r>
              <w:rPr>
                <w:rStyle w:val="CharStyle16"/>
                <w:sz w:val="12"/>
                <w:szCs w:val="12"/>
              </w:rPr>
              <w:t>Digitálně podepsa!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76" w:val="left"/>
              </w:tabs>
              <w:bidi w:val="0"/>
              <w:spacing w:before="0" w:after="0" w:line="240" w:lineRule="auto"/>
              <w:ind w:left="0" w:right="300" w:firstLine="0"/>
              <w:jc w:val="right"/>
              <w:rPr>
                <w:sz w:val="12"/>
                <w:szCs w:val="12"/>
              </w:rPr>
            </w:pPr>
            <w:r>
              <w:rPr>
                <w:rStyle w:val="CharStyle16"/>
                <w:sz w:val="12"/>
                <w:szCs w:val="12"/>
              </w:rPr>
              <w:t xml:space="preserve">Ing. RNDr. Jaroslav </w:t>
            </w:r>
            <w:r>
              <w:rPr>
                <w:rStyle w:val="CharStyle16"/>
                <w:sz w:val="20"/>
                <w:szCs w:val="20"/>
              </w:rPr>
              <w:t xml:space="preserve">Jaroslav </w:t>
            </w:r>
            <w:r>
              <w:rPr>
                <w:rStyle w:val="CharStyle16"/>
                <w:sz w:val="12"/>
                <w:szCs w:val="12"/>
              </w:rPr>
              <w:t>"Mehák,csc. ’ ň . .i</w:t>
              <w:tab/>
              <w:t>Dátum::2024.11.06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68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sz w:val="20"/>
                <w:szCs w:val="20"/>
              </w:rPr>
              <w:t xml:space="preserve">Rehak, CSc. </w:t>
            </w:r>
            <w:r>
              <w:rPr>
                <w:rStyle w:val="CharStyle16"/>
                <w:sz w:val="12"/>
                <w:szCs w:val="12"/>
              </w:rPr>
              <w:t>103335 +01W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6"/>
              </w:rPr>
              <w:t>MUDr. Hana Albrechtová ředitelka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  <w:i/>
                <w:iCs/>
                <w:sz w:val="19"/>
                <w:szCs w:val="19"/>
              </w:rPr>
              <w:t>kupující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420" w:right="0" w:firstLine="20"/>
              <w:jc w:val="left"/>
            </w:pPr>
            <w:r>
              <w:rPr>
                <w:rStyle w:val="CharStyle16"/>
              </w:rPr>
              <w:t xml:space="preserve">RNDr. Ing. Jaroslav Řehák, CSc. předseda představenstva </w:t>
            </w:r>
            <w:r>
              <w:rPr>
                <w:rStyle w:val="CharStyle16"/>
                <w:b/>
                <w:bCs/>
                <w:i/>
                <w:iCs/>
                <w:sz w:val="19"/>
                <w:szCs w:val="19"/>
              </w:rPr>
              <w:t>prodávající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bookmarkStart w:id="4" w:name="bookmark4"/>
      <w:r>
        <w:rPr>
          <w:rStyle w:val="CharStyle50"/>
          <w:b/>
          <w:bCs/>
          <w:u w:val="none"/>
        </w:rPr>
        <w:t>Příloha č. 1 Specifikace, ceník</w:t>
      </w:r>
      <w:bookmarkEnd w:id="4"/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50"/>
          <w:b/>
          <w:bCs/>
        </w:rPr>
        <w:t>Buničitá vata: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 w:firstLine="0"/>
        <w:jc w:val="left"/>
      </w:pPr>
      <w:r>
        <w:rPr>
          <w:rStyle w:val="CharStyle34"/>
        </w:rPr>
        <w:t>Přířezy buničité vaty, měkká, jemná, vysoce savá, stejnoměrná struktura; á 500 g v balení po uvedeném rozměru 20 x 30 cm; pouze bělená, nikoliv šedá.</w:t>
      </w:r>
    </w:p>
    <w:tbl>
      <w:tblPr>
        <w:tblOverlap w:val="never"/>
        <w:jc w:val="center"/>
        <w:tblLayout w:type="fixed"/>
      </w:tblPr>
      <w:tblGrid>
        <w:gridCol w:w="5923"/>
        <w:gridCol w:w="2899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REF1230200129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Batist Medical Productions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1.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21001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za balení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40,00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za balení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44,80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7" w:name="bookmark7"/>
      <w:r>
        <w:rPr>
          <w:rStyle w:val="CharStyle50"/>
          <w:b/>
          <w:bCs/>
        </w:rPr>
        <w:t>Tampóny nesterilní:</w:t>
      </w:r>
      <w:bookmarkEnd w:id="7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 w:firstLine="0"/>
        <w:jc w:val="both"/>
      </w:pPr>
      <w:r>
        <w:rPr>
          <w:rStyle w:val="CharStyle34"/>
        </w:rPr>
        <w:t>Nesterilní tampon z hydrofilní gázy, smotaný, hotový, bez přídatných materiálů. Hustota vláken tampónu minimálně 17-20 vláken. Celkový rozměr minimálně 20 x 19 mm (maximální rozměr 25 x 25 mm). Baleno po 100 ks v sáčku.</w:t>
      </w:r>
    </w:p>
    <w:tbl>
      <w:tblPr>
        <w:tblOverlap w:val="never"/>
        <w:jc w:val="center"/>
        <w:tblLayout w:type="fixed"/>
      </w:tblPr>
      <w:tblGrid>
        <w:gridCol w:w="5923"/>
        <w:gridCol w:w="289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REF1320104104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Taizhou Jinhong Medical Co.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1.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21019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za balení (sáček)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47,20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za balení (sáček)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52,86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9" w:name="bookmark9"/>
      <w:r>
        <w:rPr>
          <w:rStyle w:val="CharStyle50"/>
          <w:b/>
          <w:bCs/>
        </w:rPr>
        <w:t>Obvaz hotovy č. 2 a č. 3:</w:t>
      </w:r>
      <w:bookmarkEnd w:id="9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34"/>
        </w:rPr>
        <w:t>Sterilní obvaz - hotový obvaz č. 2 a č. 3 (nepřijatelná ekonomická varianta do laických autolékárniček). Složený z obinadla délky 5-10 m a kvalitního polštářku (kompresu) s vysokou savostí. Materiál 2/3 bavlna a 1/3 viskózová střiže, příp. elastický materiál. Balíček s obinadlem šíře 6-8 cm x 5-10 m délky + polštářku. Sterilně baleno.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  <w:b/>
          <w:bCs/>
          <w:sz w:val="19"/>
          <w:szCs w:val="19"/>
        </w:rPr>
        <w:t>Obvaz hotový č. 2</w:t>
      </w:r>
    </w:p>
    <w:tbl>
      <w:tblPr>
        <w:tblOverlap w:val="never"/>
        <w:jc w:val="center"/>
        <w:tblLayout w:type="fixed"/>
      </w:tblPr>
      <w:tblGrid>
        <w:gridCol w:w="5918"/>
        <w:gridCol w:w="2894"/>
      </w:tblGrid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Obvaz hotový č.2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Hartmann-Rico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Is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21013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26,76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29,97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  <w:b/>
          <w:bCs/>
          <w:sz w:val="19"/>
          <w:szCs w:val="19"/>
          <w:u w:val="single"/>
        </w:rPr>
        <w:t>Obvaz hotový č. 3</w:t>
      </w:r>
    </w:p>
    <w:tbl>
      <w:tblPr>
        <w:tblOverlap w:val="never"/>
        <w:jc w:val="center"/>
        <w:tblLayout w:type="fixed"/>
      </w:tblPr>
      <w:tblGrid>
        <w:gridCol w:w="5923"/>
        <w:gridCol w:w="2894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Obvaz hotový č.3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Hartmann-Rico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Is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21014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34,53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38,68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4"/>
          <w:b/>
          <w:bCs/>
          <w:u w:val="single"/>
        </w:rPr>
        <w:t>Obinadla:</w:t>
      </w:r>
    </w:p>
    <w:p>
      <w:pPr>
        <w:pStyle w:val="Style55"/>
        <w:keepNext w:val="0"/>
        <w:keepLines w:val="0"/>
        <w:widowControl w:val="0"/>
        <w:shd w:val="clear" w:color="auto" w:fill="auto"/>
        <w:tabs>
          <w:tab w:pos="7159" w:val="lef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rStyle w:val="CharStyle56"/>
          <w:b/>
          <w:bCs/>
          <w:u w:val="single"/>
        </w:rPr>
        <w:t>Obinadlo elastické:</w:t>
      </w:r>
      <w:r>
        <w:rPr>
          <w:rStyle w:val="CharStyle56"/>
          <w:b/>
          <w:bCs/>
        </w:rPr>
        <w:tab/>
        <w:t>i</w:t>
      </w:r>
    </w:p>
    <w:p>
      <w:pPr>
        <w:pStyle w:val="Style55"/>
        <w:keepNext w:val="0"/>
        <w:keepLines w:val="0"/>
        <w:widowControl w:val="0"/>
        <w:shd w:val="clear" w:color="auto" w:fill="auto"/>
        <w:tabs>
          <w:tab w:pos="7159" w:val="left"/>
        </w:tabs>
        <w:bidi w:val="0"/>
        <w:spacing w:before="0"/>
        <w:ind w:left="0" w:right="0" w:firstLine="0"/>
        <w:jc w:val="both"/>
      </w:pPr>
      <w:r>
        <w:rPr>
          <w:rStyle w:val="CharStyle56"/>
        </w:rPr>
        <w:t>Přírodní bavlna. Velikost šíře cca 10 cm x 5-7 m délky. Elastické obinadlo, středně tažné, včetně sponek, nesterilní, bez barevných proužků. Více ks v krabici.</w:t>
        <w:tab/>
        <w:t>í</w:t>
      </w:r>
      <w:r>
        <w:fldChar w:fldCharType="end"/>
      </w:r>
    </w:p>
    <w:tbl>
      <w:tblPr>
        <w:tblOverlap w:val="never"/>
        <w:jc w:val="center"/>
        <w:tblLayout w:type="fixed"/>
      </w:tblPr>
      <w:tblGrid>
        <w:gridCol w:w="5923"/>
        <w:gridCol w:w="2894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REF1323100303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Batist Medical a.s.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1.</w:t>
              <w:tab/>
              <w:t>1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24271</w:t>
              <w:tab/>
              <w:t>|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7,77</w:t>
              <w:tab/>
              <w:t>i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8,70</w:t>
              <w:tab/>
              <w:t>!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55"/>
        <w:keepNext w:val="0"/>
        <w:keepLines w:val="0"/>
        <w:widowControl w:val="0"/>
        <w:shd w:val="clear" w:color="auto" w:fill="auto"/>
        <w:tabs>
          <w:tab w:pos="7159" w:val="lef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rStyle w:val="CharStyle56"/>
          <w:b/>
          <w:bCs/>
          <w:u w:val="single"/>
        </w:rPr>
        <w:t>Obinadlo hydrofilní:</w:t>
      </w:r>
      <w:r>
        <w:rPr>
          <w:rStyle w:val="CharStyle56"/>
          <w:b/>
          <w:bCs/>
        </w:rPr>
        <w:tab/>
        <w:t>,</w:t>
      </w:r>
    </w:p>
    <w:p>
      <w:pPr>
        <w:pStyle w:val="Style55"/>
        <w:keepNext w:val="0"/>
        <w:keepLines w:val="0"/>
        <w:widowControl w:val="0"/>
        <w:shd w:val="clear" w:color="auto" w:fill="auto"/>
        <w:tabs>
          <w:tab w:pos="7159" w:val="left"/>
        </w:tabs>
        <w:bidi w:val="0"/>
        <w:spacing w:before="0" w:line="259" w:lineRule="auto"/>
        <w:ind w:left="0" w:right="0" w:firstLine="0"/>
        <w:jc w:val="both"/>
      </w:pPr>
      <w:r>
        <w:rPr>
          <w:rStyle w:val="CharStyle56"/>
        </w:rPr>
        <w:t>Hydrofilní pletené obinadlo, netřepící se okraj, nesterilní. Viskóza. Velikost cca 10-12 cm x 5-7 m délky. Balení po více ks.</w:t>
        <w:tab/>
        <w:t>!</w:t>
      </w:r>
      <w:r>
        <w:fldChar w:fldCharType="end"/>
      </w:r>
    </w:p>
    <w:tbl>
      <w:tblPr>
        <w:tblOverlap w:val="never"/>
        <w:jc w:val="center"/>
        <w:tblLayout w:type="fixed"/>
      </w:tblPr>
      <w:tblGrid>
        <w:gridCol w:w="5923"/>
        <w:gridCol w:w="2890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REF1230300203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Batist Medical Productions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i.</w:t>
              <w:tab/>
              <w:t>!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21004</w:t>
              <w:tab/>
              <w:t>I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5,06</w:t>
              <w:tab/>
              <w:t>'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5,67</w:t>
              <w:tab/>
              <w:t>: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Style w:val="CharStyle34"/>
          <w:b/>
          <w:bCs/>
          <w:u w:val="single"/>
        </w:rPr>
        <w:t>Obinadlo hydrofilní (ETK)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rStyle w:val="CharStyle34"/>
        </w:rPr>
        <w:t>Hydrofilní pletené obinadlo, netřepící se okraj, nesterilní. Viskóza. Velikost cca 5-6 cm x 5-7 m délky. Balení po více ks.</w:t>
      </w:r>
    </w:p>
    <w:tbl>
      <w:tblPr>
        <w:tblOverlap w:val="never"/>
        <w:jc w:val="center"/>
        <w:tblLayout w:type="fixed"/>
      </w:tblPr>
      <w:tblGrid>
        <w:gridCol w:w="5923"/>
        <w:gridCol w:w="2890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REF1230300201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Batist Medical Productions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i.</w:t>
              <w:tab/>
              <w:t>;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24297</w:t>
              <w:tab/>
              <w:t>i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3,57</w:t>
              <w:tab/>
            </w:r>
            <w:r>
              <w:rPr>
                <w:rStyle w:val="CharStyle16"/>
                <w:b/>
                <w:bCs/>
              </w:rPr>
              <w:t>i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4,00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52" w:right="0" w:firstLine="0"/>
        <w:jc w:val="left"/>
        <w:rPr>
          <w:sz w:val="10"/>
          <w:szCs w:val="10"/>
        </w:rPr>
      </w:pPr>
      <w:r>
        <w:rPr>
          <w:rStyle w:val="CharStyle13"/>
          <w:sz w:val="10"/>
          <w:szCs w:val="10"/>
        </w:rPr>
        <w:t>k</w:t>
      </w:r>
    </w:p>
    <w:p>
      <w:pPr>
        <w:widowControl w:val="0"/>
        <w:spacing w:after="739" w:line="1" w:lineRule="exact"/>
      </w:pP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4"/>
          <w:b/>
          <w:bCs/>
          <w:u w:val="single"/>
        </w:rPr>
        <w:t>Náplasti: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715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4"/>
          <w:b/>
          <w:bCs/>
          <w:u w:val="single"/>
        </w:rPr>
        <w:t>Náplast z umělého hedvábí</w:t>
      </w:r>
      <w:r>
        <w:rPr>
          <w:rStyle w:val="CharStyle34"/>
          <w:b/>
          <w:bCs/>
        </w:rPr>
        <w:tab/>
      </w:r>
      <w:r>
        <w:rPr>
          <w:rStyle w:val="CharStyle34"/>
          <w:b/>
          <w:bCs/>
          <w:vertAlign w:val="subscript"/>
        </w:rPr>
        <w:t>(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4"/>
        </w:rPr>
        <w:t>Pevná fixační náplast z umělého hedvábí s kaučukovým/akrylátovým lepidlem V bílé barvě. Silná přilnavost k pokožce, po odstranění nesmí zanechávat zbytky adheziva. Náplast imusí mít možnost podélně i napříč snadného roztrhnutí, snadná manipulace i při práci v rukavicích; Náplast musí být navinutá na roli, nikoliv na přesahující cívce, šířka cca 2-3 cm, délka 5 -10 m, typ SILKPORE. Jednotlivé kusy na cívce, možno více ks v krabici.</w:t>
      </w:r>
    </w:p>
    <w:tbl>
      <w:tblPr>
        <w:tblOverlap w:val="never"/>
        <w:jc w:val="center"/>
        <w:tblLayout w:type="fixed"/>
      </w:tblPr>
      <w:tblGrid>
        <w:gridCol w:w="5918"/>
        <w:gridCol w:w="2894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REF1320103315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MaiMed GmbH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1.</w:t>
              <w:tab/>
              <w:t>&gt;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24101</w:t>
              <w:tab/>
              <w:t>!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19,26</w:t>
              <w:tab/>
              <w:t>!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21,57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52" w:right="0" w:firstLine="0"/>
        <w:jc w:val="left"/>
        <w:rPr>
          <w:sz w:val="20"/>
          <w:szCs w:val="20"/>
        </w:rPr>
      </w:pPr>
      <w:r>
        <w:rPr>
          <w:rStyle w:val="CharStyle13"/>
          <w:sz w:val="20"/>
          <w:szCs w:val="20"/>
        </w:rPr>
        <w:t>I</w:t>
      </w:r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1" w:name="bookmark11"/>
      <w:r>
        <w:rPr>
          <w:rStyle w:val="CharStyle50"/>
          <w:b/>
          <w:bCs/>
        </w:rPr>
        <w:t>Leukoplast na ETK</w:t>
      </w:r>
      <w:bookmarkEnd w:id="11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4"/>
        </w:rPr>
        <w:t>Klasická fixační náplast na papírové cívce z umělého hedvábí. Náplast musí být možnost podélně i napříč snadné roztrhnout i při manipulaci v rukavicích. Náplast musí být navinutá na roli, nikoliv na přesahující cívce. Rozměr cca 1 -1,25 cm šířky x minimálně 5 m délky (max. 10 m délky). Jednotlivé kusy na cívce, možno více ks v krabici.</w:t>
      </w:r>
    </w:p>
    <w:tbl>
      <w:tblPr>
        <w:tblOverlap w:val="never"/>
        <w:jc w:val="center"/>
        <w:tblLayout w:type="fixed"/>
      </w:tblPr>
      <w:tblGrid>
        <w:gridCol w:w="5923"/>
        <w:gridCol w:w="2894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REF1320103314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MaiMed GmbH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1.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21000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9,21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10,32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4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3" w:name="bookmark13"/>
      <w:r>
        <w:rPr>
          <w:rStyle w:val="CharStyle50"/>
          <w:b/>
          <w:bCs/>
        </w:rPr>
        <w:t>Náplast hypoalergenní polštářková</w:t>
      </w:r>
      <w:bookmarkEnd w:id="13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4"/>
        </w:rPr>
        <w:t>Náplast hypoalergenní polštářková s absorpční antiseptickou částí pro ošetření minimálních poranění. V návinu na odstřižení potřebné délky. Netkaný textil, textilní náplast. Rozměr cca 6-8 cm šířky x 1 m délky.</w:t>
      </w:r>
    </w:p>
    <w:tbl>
      <w:tblPr>
        <w:tblOverlap w:val="never"/>
        <w:jc w:val="center"/>
        <w:tblLayout w:type="fixed"/>
      </w:tblPr>
      <w:tblGrid>
        <w:gridCol w:w="5923"/>
        <w:gridCol w:w="2894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-Obchodní/výrobní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REF1320900401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MEDIPLAST CZ, s.r.o.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Třída dle MDR (2017/745/EU)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Interní číslo kupujícího: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24283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19,15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21,45</w:t>
            </w:r>
          </w:p>
        </w:tc>
      </w:tr>
    </w:tbl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650" w:right="1536" w:bottom="1237" w:left="1479" w:header="122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954405</wp:posOffset>
              </wp:positionH>
              <wp:positionV relativeFrom="page">
                <wp:posOffset>10027285</wp:posOffset>
              </wp:positionV>
              <wp:extent cx="458724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872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DNS na zdravotnický spotřební materiál - VZ: 12_2024, obvazy, kryti, fixace 2025 - 2026</w:t>
                          </w:r>
                          <w:r>
                            <w:rPr>
                              <w:rStyle w:val="CharStyle7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5.150000000000006pt;margin-top:789.55000000000007pt;width:361.19999999999999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DNS na zdravotnický spotřební materiál - VZ: 12_2024, obvazy, kryti, fixace 2025 - 2026</w:t>
                    </w:r>
                    <w:r>
                      <w:rPr>
                        <w:rStyle w:val="CharStyle7"/>
                        <w:rFonts w:ascii="Arial" w:eastAsia="Arial" w:hAnsi="Arial" w:cs="Arial"/>
                        <w:sz w:val="16"/>
                        <w:szCs w:val="16"/>
                      </w:rPr>
                      <w:t xml:space="preserve">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">
    <w:name w:val="Základní text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">
    <w:name w:val="Základní text (2)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0">
    <w:name w:val="Nadpis #3_"/>
    <w:basedOn w:val="DefaultParagraphFont"/>
    <w:link w:val="Style4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56">
    <w:name w:val="Obsah_"/>
    <w:basedOn w:val="DefaultParagraphFont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auto"/>
      <w:spacing w:after="420" w:line="295" w:lineRule="auto"/>
      <w:ind w:left="2020" w:hanging="13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2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3">
    <w:name w:val="Základní text"/>
    <w:basedOn w:val="Normal"/>
    <w:link w:val="CharStyle34"/>
    <w:pPr>
      <w:widowControl w:val="0"/>
      <w:shd w:val="clear" w:color="auto" w:fill="auto"/>
      <w:spacing w:after="2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1">
    <w:name w:val="Základní text (2)"/>
    <w:basedOn w:val="Normal"/>
    <w:link w:val="CharStyle42"/>
    <w:pPr>
      <w:widowControl w:val="0"/>
      <w:shd w:val="clear" w:color="auto" w:fill="auto"/>
      <w:spacing w:after="200"/>
      <w:ind w:right="15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49">
    <w:name w:val="Nadpis #3"/>
    <w:basedOn w:val="Normal"/>
    <w:link w:val="CharStyle50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Style55">
    <w:name w:val="Obsah"/>
    <w:basedOn w:val="Normal"/>
    <w:link w:val="CharStyle56"/>
    <w:pPr>
      <w:widowControl w:val="0"/>
      <w:shd w:val="clear" w:color="auto" w:fill="auto"/>
      <w:spacing w:after="20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/Relationships>
</file>