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615950" distL="15240" distR="18415" simplePos="0" relativeHeight="125829378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1238885</wp:posOffset>
                </wp:positionH>
                <wp:positionV relativeFrom="paragraph">
                  <wp:posOffset>1158875</wp:posOffset>
                </wp:positionV>
                <wp:extent cx="219710" cy="19177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971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zn.: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7.549999999999997pt;margin-top:91.25pt;width:17.300000000000001pt;height:15.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zn.: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1158875</wp:posOffset>
                </wp:positionV>
                <wp:extent cx="536575" cy="43561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6575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5.550000000000004pt;margin-top:91.25pt;width:42.25pt;height:34.300000000000004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1688465</wp:posOffset>
                </wp:positionV>
                <wp:extent cx="536575" cy="82613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6575" cy="826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5.550000000000004pt;margin-top:132.94999999999999pt;width:42.25pt;height:65.049999999999997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4024630</wp:posOffset>
                </wp:positionH>
                <wp:positionV relativeFrom="paragraph">
                  <wp:posOffset>938530</wp:posOffset>
                </wp:positionV>
                <wp:extent cx="1657985" cy="87185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7985" cy="871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Jan Procházka - ELIS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Ječná 533/5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500 03 Hradec Králové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6.90000000000003pt;margin-top:73.900000000000006pt;width:130.55000000000001pt;height:68.650000000000006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Jan Procházka - ELIS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Ječná 533/5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500 03 Hradec Králové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0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POH/54075/2024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8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 …………………… …………………… ……………………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8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22.11.2024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Terezín,…………………………..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05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316955/38/2024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05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31.12.2024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05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75 525,00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05" w:val="left"/>
        </w:tabs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95596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dle Vaší cenové nabídky ze dne 20.11.2024 výměnu procesorové karty v PC, která je součástí řídicího systému MVE Doksany a následnou úpravu software pro umožnění dálkového přístupu k řídicímu systému MVE.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Podrobný popis prací a potřebného materiálu je popsán v příloze č. 1 - Cenová nabídka.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Potřebnou součinnost Vám poskytne: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Lhůta splatnosti daňového dokladu (faktury) je 30 dní ode dne doručení objednateli.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 IČO: 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 DIČ: CZ70889988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v elektronické podobě ve formátu PDF zašlete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…………………………..</w:t>
      </w:r>
    </w:p>
    <w:sectPr>
      <w:footnotePr>
        <w:pos w:val="pageBottom"/>
        <w:numFmt w:val="decimal"/>
        <w:numRestart w:val="continuous"/>
      </w:footnotePr>
      <w:pgSz w:w="11909" w:h="16838"/>
      <w:pgMar w:top="677" w:left="1111" w:right="1106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