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F">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76" w:lineRule="auto"/>
              <w:jc w:val="both"/>
              <w:rPr>
                <w:color w:val="333333"/>
                <w:sz w:val="20"/>
                <w:szCs w:val="20"/>
              </w:rPr>
            </w:pPr>
            <w:r w:rsidDel="00000000" w:rsidR="00000000" w:rsidRPr="00000000">
              <w:rPr>
                <w:color w:val="333333"/>
                <w:sz w:val="20"/>
                <w:szCs w:val="20"/>
                <w:rtl w:val="0"/>
              </w:rPr>
              <w:t xml:space="preserve">Mateřská škola, Fráni Šrámka 2620, Teplice</w:t>
            </w:r>
          </w:p>
        </w:tc>
      </w:tr>
    </w:tbl>
    <w:p w:rsidR="00000000" w:rsidDel="00000000" w:rsidP="00000000" w:rsidRDefault="00000000" w:rsidRPr="00000000" w14:paraId="00000012">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right="-273.0708661417316"/>
              <w:jc w:val="both"/>
              <w:rPr>
                <w:color w:val="333333"/>
                <w:sz w:val="20"/>
                <w:szCs w:val="20"/>
              </w:rPr>
            </w:pPr>
            <w:r w:rsidDel="00000000" w:rsidR="00000000" w:rsidRPr="00000000">
              <w:rPr>
                <w:color w:val="333333"/>
                <w:sz w:val="20"/>
                <w:szCs w:val="20"/>
                <w:rtl w:val="0"/>
              </w:rPr>
              <w:t xml:space="preserve">Fráni Šrámka 2620, 41501 Teplice</w:t>
            </w:r>
          </w:p>
        </w:tc>
      </w:tr>
    </w:tbl>
    <w:p w:rsidR="00000000" w:rsidDel="00000000" w:rsidP="00000000" w:rsidRDefault="00000000" w:rsidRPr="00000000" w14:paraId="00000015">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both"/>
              <w:rPr>
                <w:color w:val="333333"/>
                <w:sz w:val="20"/>
                <w:szCs w:val="20"/>
              </w:rPr>
            </w:pPr>
            <w:r w:rsidDel="00000000" w:rsidR="00000000" w:rsidRPr="00000000">
              <w:rPr>
                <w:color w:val="333333"/>
                <w:sz w:val="20"/>
                <w:szCs w:val="20"/>
                <w:rtl w:val="0"/>
              </w:rPr>
              <w:t xml:space="preserve">63788110</w:t>
            </w:r>
          </w:p>
        </w:tc>
      </w:tr>
    </w:tbl>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9">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sz w:val="20"/>
                <w:szCs w:val="20"/>
              </w:rPr>
            </w:pPr>
            <w:r w:rsidDel="00000000" w:rsidR="00000000" w:rsidRPr="00000000">
              <w:rPr>
                <w:sz w:val="20"/>
                <w:szCs w:val="20"/>
                <w:rtl w:val="0"/>
              </w:rPr>
              <w:t xml:space="preserve">Bc. Irena Slámová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E">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600084442</w:t>
            </w:r>
          </w:p>
        </w:tc>
      </w:tr>
    </w:tbl>
    <w:p w:rsidR="00000000" w:rsidDel="00000000" w:rsidP="00000000" w:rsidRDefault="00000000" w:rsidRPr="00000000" w14:paraId="00000021">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40 současných dotyků;</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11 Pro;</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Multifunkční elektrický stojan;</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color w:val="222222"/>
                <w:sz w:val="20"/>
                <w:szCs w:val="20"/>
                <w:highlight w:val="white"/>
                <w:rtl w:val="0"/>
              </w:rPr>
              <w:t xml:space="preserve">Balíček software (zahrnuje také programy iŠkolička Barevné kamínky);</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Přepěťová ochrana.</w:t>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135.000 Kč (jedno sto třicet pět tisíc korun českých)</w:t>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30 dnů od podpisu smlouvy na číslo účtu Prodávajícího vedené v záhlaví této Smlouvy.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29. 11. 2024 </w:t>
        <w:tab/>
        <w:tab/>
        <w:tab/>
        <w:tab/>
        <w:t xml:space="preserve">Prodávající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Teplicích dne 2. 12. 2024</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