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57625" w14:textId="77777777" w:rsidR="00A22FB3" w:rsidRDefault="005B1DA6">
      <w:pPr>
        <w:pStyle w:val="Heading110"/>
        <w:framePr w:w="8482" w:h="653" w:hRule="exact" w:wrap="none" w:vAnchor="page" w:hAnchor="page" w:x="1451" w:y="1657"/>
        <w:shd w:val="clear" w:color="auto" w:fill="auto"/>
      </w:pPr>
      <w:bookmarkStart w:id="0" w:name="bookmark0"/>
      <w:r>
        <w:t>Příloha č. 1</w:t>
      </w:r>
      <w:bookmarkEnd w:id="0"/>
    </w:p>
    <w:p w14:paraId="2E557626" w14:textId="77777777" w:rsidR="00A22FB3" w:rsidRDefault="005B1DA6">
      <w:pPr>
        <w:pStyle w:val="Bodytext20"/>
        <w:framePr w:w="8482" w:h="653" w:hRule="exact" w:wrap="none" w:vAnchor="page" w:hAnchor="page" w:x="1451" w:y="1657"/>
        <w:shd w:val="clear" w:color="auto" w:fill="auto"/>
        <w:spacing w:after="0"/>
      </w:pPr>
      <w:r>
        <w:t>k Dodatku č. 1 ze dne 06.11.2024 Smlouvy o vytvoření a užití výkonu uzavřené dne 01.03.2024</w:t>
      </w:r>
    </w:p>
    <w:p w14:paraId="2E557627" w14:textId="77777777" w:rsidR="00A22FB3" w:rsidRDefault="005B1DA6">
      <w:pPr>
        <w:pStyle w:val="Bodytext20"/>
        <w:framePr w:wrap="none" w:vAnchor="page" w:hAnchor="page" w:x="1451" w:y="3201"/>
        <w:shd w:val="clear" w:color="auto" w:fill="auto"/>
        <w:spacing w:after="0"/>
      </w:pPr>
      <w:r>
        <w:t>Ohňostrojové služby - rozpis na 1 muzikálové představení "BEETLEJUICE":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18"/>
        <w:gridCol w:w="1416"/>
        <w:gridCol w:w="1402"/>
        <w:gridCol w:w="1757"/>
      </w:tblGrid>
      <w:tr w:rsidR="00A22FB3" w14:paraId="2E55762C" w14:textId="77777777">
        <w:tblPrEx>
          <w:tblCellMar>
            <w:top w:w="0" w:type="dxa"/>
            <w:bottom w:w="0" w:type="dxa"/>
          </w:tblCellMar>
        </w:tblPrEx>
        <w:trPr>
          <w:trHeight w:hRule="exact" w:val="317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8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ind w:right="40"/>
              <w:jc w:val="center"/>
            </w:pPr>
            <w:r>
              <w:rPr>
                <w:rStyle w:val="Bodytext21"/>
              </w:rPr>
              <w:t>Položka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9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množství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A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cena/MJ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2B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Celkem bez DPH</w:t>
            </w:r>
          </w:p>
        </w:tc>
      </w:tr>
      <w:tr w:rsidR="00A22FB3" w14:paraId="2E557631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D" w14:textId="73BAD98D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hořící prst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E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2F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30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750 Kč</w:t>
            </w:r>
          </w:p>
        </w:tc>
      </w:tr>
      <w:tr w:rsidR="00A22FB3" w14:paraId="2E557636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2" w14:textId="712CEB99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 xml:space="preserve">krb se </w:t>
            </w:r>
            <w:r>
              <w:rPr>
                <w:rStyle w:val="Bodytext21"/>
              </w:rPr>
              <w:t>zážehem a ELM ventilem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3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4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300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35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300 Kč</w:t>
            </w:r>
          </w:p>
        </w:tc>
      </w:tr>
      <w:tr w:rsidR="00A22FB3" w14:paraId="2E55763B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7" w14:textId="43DEA57F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postřel obraz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8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9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3A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300 Kč</w:t>
            </w:r>
          </w:p>
        </w:tc>
      </w:tr>
      <w:tr w:rsidR="00A22FB3" w14:paraId="2E557640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C" w14:textId="77652B7F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dým kniha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D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3E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3F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300 Kč</w:t>
            </w:r>
          </w:p>
        </w:tc>
      </w:tr>
      <w:tr w:rsidR="00A22FB3" w14:paraId="2E557645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1" w14:textId="6C1ACEC5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minibomba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2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3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44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</w:tr>
      <w:tr w:rsidR="00A22FB3" w14:paraId="2E55764A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6" w14:textId="146705A6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zajiskření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7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12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8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150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49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1 800 Kč</w:t>
            </w:r>
          </w:p>
        </w:tc>
      </w:tr>
      <w:tr w:rsidR="00A22FB3" w14:paraId="2E55764F" w14:textId="77777777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B" w14:textId="09A660F3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modul dálkového ovládání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C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4D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100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4E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500 Kč</w:t>
            </w:r>
          </w:p>
        </w:tc>
      </w:tr>
      <w:tr w:rsidR="00A22FB3" w14:paraId="2E557654" w14:textId="77777777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34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50" w14:textId="6E2FD583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</w:pPr>
            <w:r>
              <w:rPr>
                <w:rStyle w:val="Bodytext21"/>
              </w:rPr>
              <w:t xml:space="preserve">  </w:t>
            </w:r>
            <w:r>
              <w:rPr>
                <w:rStyle w:val="Bodytext21"/>
              </w:rPr>
              <w:t>pracovník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51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center"/>
            </w:pPr>
            <w:r>
              <w:rPr>
                <w:rStyle w:val="Bodytext21"/>
              </w:rPr>
              <w:t>1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E557652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1 200 Kč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2E557653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1"/>
              </w:rPr>
              <w:t>1 200 Kč</w:t>
            </w:r>
          </w:p>
        </w:tc>
      </w:tr>
      <w:tr w:rsidR="00A22FB3" w14:paraId="2E557657" w14:textId="77777777">
        <w:tblPrEx>
          <w:tblCellMar>
            <w:top w:w="0" w:type="dxa"/>
            <w:bottom w:w="0" w:type="dxa"/>
          </w:tblCellMar>
        </w:tblPrEx>
        <w:trPr>
          <w:trHeight w:hRule="exact" w:val="307"/>
        </w:trPr>
        <w:tc>
          <w:tcPr>
            <w:tcW w:w="62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557655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ind w:left="1320"/>
            </w:pPr>
            <w:r>
              <w:rPr>
                <w:rStyle w:val="Bodytext2Bold"/>
              </w:rPr>
              <w:t>CELKEM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557656" w14:textId="77777777" w:rsidR="00A22FB3" w:rsidRDefault="005B1DA6">
            <w:pPr>
              <w:pStyle w:val="Bodytext20"/>
              <w:framePr w:w="7992" w:h="2947" w:wrap="none" w:vAnchor="page" w:hAnchor="page" w:x="1451" w:y="4004"/>
              <w:shd w:val="clear" w:color="auto" w:fill="auto"/>
              <w:spacing w:after="0"/>
              <w:jc w:val="right"/>
            </w:pPr>
            <w:r>
              <w:rPr>
                <w:rStyle w:val="Bodytext2Bold"/>
              </w:rPr>
              <w:t>5 300 Kč</w:t>
            </w:r>
          </w:p>
        </w:tc>
      </w:tr>
    </w:tbl>
    <w:p w14:paraId="2E557658" w14:textId="77777777" w:rsidR="00A22FB3" w:rsidRDefault="00A22FB3">
      <w:pPr>
        <w:rPr>
          <w:sz w:val="2"/>
          <w:szCs w:val="2"/>
        </w:rPr>
      </w:pPr>
      <w:bookmarkStart w:id="1" w:name="_GoBack"/>
      <w:bookmarkEnd w:id="1"/>
    </w:p>
    <w:sectPr w:rsidR="00A22FB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5765D" w14:textId="77777777" w:rsidR="00000000" w:rsidRDefault="005B1DA6">
      <w:r>
        <w:separator/>
      </w:r>
    </w:p>
  </w:endnote>
  <w:endnote w:type="continuationSeparator" w:id="0">
    <w:p w14:paraId="2E55765F" w14:textId="77777777" w:rsidR="00000000" w:rsidRDefault="005B1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557659" w14:textId="77777777" w:rsidR="00A22FB3" w:rsidRDefault="00A22FB3"/>
  </w:footnote>
  <w:footnote w:type="continuationSeparator" w:id="0">
    <w:p w14:paraId="2E55765A" w14:textId="77777777" w:rsidR="00A22FB3" w:rsidRDefault="00A22FB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2FB3"/>
    <w:rsid w:val="005B1DA6"/>
    <w:rsid w:val="00A22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7625"/>
  <w15:docId w15:val="{54273BA9-A62C-40BC-8B1C-3D679282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1">
    <w:name w:val="Heading #1|1_"/>
    <w:basedOn w:val="Standardnpsmoodstavce"/>
    <w:link w:val="Heading11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Bodytext21">
    <w:name w:val="Body text|2"/>
    <w:basedOn w:val="Bodytext2"/>
    <w:semiHidden/>
    <w:unhideWhenUsed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Bodytext2Bold">
    <w:name w:val="Body text|2 + Bold"/>
    <w:basedOn w:val="Bodytext2"/>
    <w:semiHidden/>
    <w:unhideWhenUsed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paragraph" w:customStyle="1" w:styleId="Heading110">
    <w:name w:val="Heading #1|1"/>
    <w:basedOn w:val="Normln"/>
    <w:link w:val="Heading11"/>
    <w:qFormat/>
    <w:pPr>
      <w:shd w:val="clear" w:color="auto" w:fill="FFFFFF"/>
      <w:spacing w:line="312" w:lineRule="exact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qFormat/>
    <w:pPr>
      <w:shd w:val="clear" w:color="auto" w:fill="FFFFFF"/>
      <w:spacing w:after="940" w:line="212" w:lineRule="exact"/>
    </w:pPr>
    <w:rPr>
      <w:rFonts w:ascii="Arial" w:eastAsia="Arial" w:hAnsi="Arial" w:cs="Aria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443</Characters>
  <Application>Microsoft Office Word</Application>
  <DocSecurity>0</DocSecurity>
  <Lines>3</Lines>
  <Paragraphs>1</Paragraphs>
  <ScaleCrop>false</ScaleCrop>
  <Company>Hudební divadlo Karlín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Simona Wagenknechtová</cp:lastModifiedBy>
  <cp:revision>2</cp:revision>
  <dcterms:created xsi:type="dcterms:W3CDTF">2024-12-04T13:17:00Z</dcterms:created>
  <dcterms:modified xsi:type="dcterms:W3CDTF">2024-12-04T13:18:00Z</dcterms:modified>
</cp:coreProperties>
</file>