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230C0F30" w:rsidR="00466A2D" w:rsidRDefault="001D403F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D403F">
        <w:rPr>
          <w:rFonts w:asciiTheme="minorHAnsi" w:hAnsiTheme="minorHAnsi" w:cstheme="minorHAnsi"/>
          <w:b/>
          <w:bCs/>
          <w:sz w:val="22"/>
          <w:szCs w:val="22"/>
        </w:rPr>
        <w:t>Obchodní akademie a vyšší odborná škola Brno, Kotlářská, příspěvková organizace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3827A7F3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693C7C">
        <w:rPr>
          <w:rFonts w:asciiTheme="minorHAnsi" w:hAnsiTheme="minorHAnsi" w:cstheme="minorHAnsi"/>
          <w:color w:val="000000"/>
          <w:sz w:val="22"/>
          <w:szCs w:val="22"/>
        </w:rPr>
        <w:t>---</w:t>
      </w:r>
    </w:p>
    <w:p w14:paraId="2A378BEB" w14:textId="453309E1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693C7C">
        <w:rPr>
          <w:rFonts w:asciiTheme="minorHAnsi" w:hAnsiTheme="minorHAnsi" w:cstheme="minorHAnsi"/>
          <w:sz w:val="22"/>
          <w:szCs w:val="22"/>
          <w:lang w:eastAsia="en-US" w:bidi="en-US"/>
        </w:rPr>
        <w:t>NE</w:t>
      </w:r>
    </w:p>
    <w:p w14:paraId="2FFF8B0B" w14:textId="45A55ECC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74329E89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54F8D339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6FC59EA9" w14:textId="68CC0972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BD951D0" w14:textId="5AF5BE0F" w:rsidR="001D403F" w:rsidRPr="00344818" w:rsidRDefault="001D403F" w:rsidP="00693C7C">
      <w:pPr>
        <w:tabs>
          <w:tab w:val="left" w:pos="3261"/>
        </w:tabs>
        <w:spacing w:after="120"/>
        <w:ind w:left="3261" w:hanging="2835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44818">
        <w:rPr>
          <w:rFonts w:asciiTheme="minorHAnsi" w:hAnsiTheme="minorHAnsi" w:cstheme="minorHAnsi"/>
          <w:b/>
          <w:bCs/>
          <w:snapToGrid w:val="0"/>
          <w:sz w:val="22"/>
          <w:szCs w:val="22"/>
        </w:rPr>
        <w:t>Název/obchodní firma/jméno:</w:t>
      </w:r>
      <w:r w:rsidR="00693C7C" w:rsidRPr="00693C7C">
        <w:t xml:space="preserve"> </w:t>
      </w:r>
      <w:r w:rsidR="00693C7C" w:rsidRPr="00693C7C">
        <w:rPr>
          <w:rFonts w:asciiTheme="minorHAnsi" w:hAnsiTheme="minorHAnsi" w:cstheme="minorHAnsi"/>
          <w:b/>
          <w:bCs/>
          <w:sz w:val="22"/>
          <w:szCs w:val="22"/>
        </w:rPr>
        <w:t>Střední škola stavebních řemesel Brno-Bosonohy, příspěvková organizace</w:t>
      </w:r>
    </w:p>
    <w:p w14:paraId="5B24A1E8" w14:textId="2C1EC1E4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344818">
        <w:rPr>
          <w:rFonts w:asciiTheme="minorHAnsi" w:hAnsiTheme="minorHAnsi" w:cstheme="minorHAnsi"/>
          <w:bCs/>
          <w:sz w:val="22"/>
          <w:szCs w:val="22"/>
        </w:rPr>
        <w:t>Zastoupen</w:t>
      </w:r>
      <w:r w:rsidR="00E65BC9">
        <w:rPr>
          <w:rFonts w:asciiTheme="minorHAnsi" w:hAnsiTheme="minorHAnsi" w:cstheme="minorHAnsi"/>
          <w:bCs/>
          <w:sz w:val="22"/>
          <w:szCs w:val="22"/>
        </w:rPr>
        <w:t>á</w:t>
      </w:r>
      <w:r w:rsidRPr="00344818">
        <w:rPr>
          <w:rFonts w:asciiTheme="minorHAnsi" w:hAnsiTheme="minorHAnsi" w:cstheme="minorHAnsi"/>
          <w:bCs/>
          <w:sz w:val="22"/>
          <w:szCs w:val="22"/>
        </w:rPr>
        <w:t>:</w:t>
      </w:r>
      <w:r w:rsidRPr="00344818">
        <w:rPr>
          <w:rFonts w:asciiTheme="minorHAnsi" w:hAnsiTheme="minorHAnsi" w:cstheme="minorHAnsi"/>
          <w:bCs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Ing. Jiřím Košťálem</w:t>
      </w:r>
    </w:p>
    <w:p w14:paraId="2764192D" w14:textId="0BEB02F3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Pražská 636/</w:t>
      </w:r>
      <w:proofErr w:type="gramStart"/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38b</w:t>
      </w:r>
      <w:proofErr w:type="gramEnd"/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, 642 00 Brno</w:t>
      </w:r>
    </w:p>
    <w:p w14:paraId="4626894C" w14:textId="405F5958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IČO: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00173843</w:t>
      </w:r>
    </w:p>
    <w:p w14:paraId="4F6DFA0E" w14:textId="36FB5C47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3C7C" w:rsidRPr="00E65BC9">
        <w:rPr>
          <w:rFonts w:asciiTheme="minorHAnsi" w:hAnsiTheme="minorHAnsi" w:cstheme="minorHAnsi"/>
          <w:color w:val="000000"/>
          <w:sz w:val="22"/>
          <w:szCs w:val="22"/>
        </w:rPr>
        <w:t>CZ 00173843</w:t>
      </w:r>
    </w:p>
    <w:p w14:paraId="491ED5EF" w14:textId="76934F26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Bankovní spojení: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F020C6A" w14:textId="0C5064DC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Číslo účtu: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A30923" w14:textId="033A0FBC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Kontaktní osoba: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5A25A42" w14:textId="657A6188" w:rsidR="001D403F" w:rsidRPr="00E65BC9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06D67F2" w14:textId="22FC8E21" w:rsidR="001D403F" w:rsidRPr="0041458A" w:rsidRDefault="001D403F" w:rsidP="00E65BC9">
      <w:pPr>
        <w:tabs>
          <w:tab w:val="left" w:pos="3261"/>
        </w:tabs>
        <w:spacing w:after="12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65BC9">
        <w:rPr>
          <w:rFonts w:asciiTheme="minorHAnsi" w:hAnsiTheme="minorHAnsi" w:cstheme="minorHAnsi"/>
          <w:color w:val="000000"/>
          <w:sz w:val="22"/>
          <w:szCs w:val="22"/>
        </w:rPr>
        <w:t>E-mail:</w:t>
      </w:r>
      <w:r w:rsidRPr="00E65BC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0A2C31" w14:textId="77777777" w:rsidR="00BE77F5" w:rsidRDefault="00BE77F5" w:rsidP="00BE77F5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B77A964" w14:textId="3208719A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ílo převzít a zaplatit za něj sjednanou cenu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8EAA77E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</w:t>
      </w:r>
      <w:r w:rsidR="0050050C">
        <w:rPr>
          <w:rFonts w:asciiTheme="minorHAnsi" w:hAnsiTheme="minorHAnsi" w:cstheme="minorHAnsi"/>
          <w:sz w:val="22"/>
          <w:szCs w:val="22"/>
        </w:rPr>
        <w:t>e</w:t>
      </w:r>
      <w:r w:rsidR="00575925">
        <w:rPr>
          <w:rFonts w:asciiTheme="minorHAnsi" w:hAnsiTheme="minorHAnsi" w:cstheme="minorHAnsi"/>
          <w:sz w:val="22"/>
          <w:szCs w:val="22"/>
        </w:rPr>
        <w:t xml:space="preserve"> </w:t>
      </w:r>
      <w:r w:rsidR="005960C3" w:rsidRPr="005960C3">
        <w:rPr>
          <w:rFonts w:ascii="Calibri" w:hAnsi="Calibri" w:cs="Calibri"/>
          <w:szCs w:val="24"/>
        </w:rPr>
        <w:t>Dodávka a montáž nábytku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103261">
        <w:rPr>
          <w:rFonts w:asciiTheme="minorHAnsi" w:hAnsiTheme="minorHAnsi" w:cstheme="minorHAnsi"/>
          <w:sz w:val="22"/>
          <w:szCs w:val="22"/>
        </w:rPr>
        <w:t>ý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103261">
        <w:rPr>
          <w:rFonts w:asciiTheme="minorHAnsi" w:hAnsiTheme="minorHAnsi" w:cstheme="minorHAnsi"/>
          <w:sz w:val="22"/>
          <w:szCs w:val="22"/>
        </w:rPr>
        <w:t>e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</w:t>
      </w:r>
      <w:r w:rsidR="00E17E53">
        <w:rPr>
          <w:rFonts w:asciiTheme="minorHAnsi" w:hAnsiTheme="minorHAnsi" w:cstheme="minorHAnsi"/>
          <w:sz w:val="22"/>
          <w:szCs w:val="22"/>
        </w:rPr>
        <w:lastRenderedPageBreak/>
        <w:t xml:space="preserve">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2" w:name="_Ref20918676"/>
      <w:r w:rsidRPr="00C3658E">
        <w:rPr>
          <w:rFonts w:cstheme="minorHAnsi"/>
          <w:szCs w:val="22"/>
        </w:rPr>
        <w:t xml:space="preserve">PŘEDMĚT </w:t>
      </w:r>
      <w:bookmarkEnd w:id="2"/>
      <w:r w:rsidRPr="00C3658E">
        <w:rPr>
          <w:rFonts w:cstheme="minorHAnsi"/>
          <w:szCs w:val="22"/>
        </w:rPr>
        <w:t>DÍLA</w:t>
      </w:r>
    </w:p>
    <w:p w14:paraId="62A3B4BC" w14:textId="2239921A" w:rsidR="00F163A9" w:rsidRPr="00F86060" w:rsidRDefault="00F163A9" w:rsidP="00F163A9">
      <w:pPr>
        <w:pStyle w:val="Odstavecseseznamem"/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63A9">
        <w:rPr>
          <w:rFonts w:asciiTheme="minorHAnsi" w:hAnsiTheme="minorHAnsi" w:cstheme="minorHAnsi"/>
          <w:sz w:val="22"/>
          <w:szCs w:val="22"/>
        </w:rPr>
        <w:t>Předmětem smlouvy je dodávka, montáž a instalace</w:t>
      </w:r>
      <w:r w:rsidRPr="00F163A9">
        <w:rPr>
          <w:rFonts w:ascii="Calibri" w:hAnsi="Calibri"/>
          <w:sz w:val="22"/>
          <w:szCs w:val="22"/>
        </w:rPr>
        <w:t xml:space="preserve"> nábytku do budovy školy</w:t>
      </w:r>
      <w:r w:rsidRPr="002B7419">
        <w:rPr>
          <w:rFonts w:ascii="Calibri" w:hAnsi="Calibri"/>
          <w:sz w:val="22"/>
          <w:szCs w:val="22"/>
        </w:rPr>
        <w:t>.</w:t>
      </w:r>
      <w:r w:rsidRPr="00F163A9">
        <w:rPr>
          <w:rFonts w:asciiTheme="minorHAnsi" w:hAnsiTheme="minorHAnsi" w:cstheme="minorHAnsi"/>
          <w:sz w:val="22"/>
          <w:szCs w:val="22"/>
        </w:rPr>
        <w:t xml:space="preserve"> Pro vymezení rozsahu </w:t>
      </w:r>
      <w:r w:rsidR="00F86060">
        <w:rPr>
          <w:rFonts w:asciiTheme="minorHAnsi" w:hAnsiTheme="minorHAnsi" w:cstheme="minorHAnsi"/>
          <w:sz w:val="22"/>
          <w:szCs w:val="22"/>
        </w:rPr>
        <w:t xml:space="preserve">dílo </w:t>
      </w:r>
      <w:r w:rsidRPr="00F163A9">
        <w:rPr>
          <w:rFonts w:asciiTheme="minorHAnsi" w:hAnsiTheme="minorHAnsi" w:cstheme="minorHAnsi"/>
          <w:sz w:val="22"/>
          <w:szCs w:val="22"/>
        </w:rPr>
        <w:t>a množství jednotlivých interiérových prvků j</w:t>
      </w:r>
      <w:r w:rsidR="00BB5311">
        <w:rPr>
          <w:rFonts w:asciiTheme="minorHAnsi" w:hAnsiTheme="minorHAnsi" w:cstheme="minorHAnsi"/>
          <w:sz w:val="22"/>
          <w:szCs w:val="22"/>
        </w:rPr>
        <w:t>e</w:t>
      </w:r>
      <w:r w:rsidRPr="00F163A9">
        <w:rPr>
          <w:rFonts w:asciiTheme="minorHAnsi" w:hAnsiTheme="minorHAnsi" w:cstheme="minorHAnsi"/>
          <w:sz w:val="22"/>
          <w:szCs w:val="22"/>
        </w:rPr>
        <w:t xml:space="preserve"> rozhodující oceněn</w:t>
      </w:r>
      <w:r w:rsidR="00BB5311">
        <w:rPr>
          <w:rFonts w:asciiTheme="minorHAnsi" w:hAnsiTheme="minorHAnsi" w:cstheme="minorHAnsi"/>
          <w:sz w:val="22"/>
          <w:szCs w:val="22"/>
        </w:rPr>
        <w:t>ý</w:t>
      </w:r>
      <w:r w:rsidRPr="00F163A9">
        <w:rPr>
          <w:rFonts w:asciiTheme="minorHAnsi" w:hAnsiTheme="minorHAnsi" w:cstheme="minorHAnsi"/>
          <w:sz w:val="22"/>
          <w:szCs w:val="22"/>
        </w:rPr>
        <w:t xml:space="preserve"> soupis dodávek, kte</w:t>
      </w:r>
      <w:r w:rsidR="00BB5311">
        <w:rPr>
          <w:rFonts w:asciiTheme="minorHAnsi" w:hAnsiTheme="minorHAnsi" w:cstheme="minorHAnsi"/>
          <w:sz w:val="22"/>
          <w:szCs w:val="22"/>
        </w:rPr>
        <w:t>rý</w:t>
      </w:r>
      <w:r w:rsidRPr="00F163A9">
        <w:rPr>
          <w:rFonts w:asciiTheme="minorHAnsi" w:hAnsiTheme="minorHAnsi" w:cstheme="minorHAnsi"/>
          <w:sz w:val="22"/>
          <w:szCs w:val="22"/>
        </w:rPr>
        <w:t xml:space="preserve"> j</w:t>
      </w:r>
      <w:r w:rsidR="00BB5311">
        <w:rPr>
          <w:rFonts w:asciiTheme="minorHAnsi" w:hAnsiTheme="minorHAnsi" w:cstheme="minorHAnsi"/>
          <w:sz w:val="22"/>
          <w:szCs w:val="22"/>
        </w:rPr>
        <w:t>e</w:t>
      </w:r>
      <w:r w:rsidRPr="00F163A9">
        <w:rPr>
          <w:rFonts w:asciiTheme="minorHAnsi" w:hAnsiTheme="minorHAnsi" w:cstheme="minorHAnsi"/>
          <w:sz w:val="22"/>
          <w:szCs w:val="22"/>
        </w:rPr>
        <w:t xml:space="preserve"> nedílnou součást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F163A9">
        <w:rPr>
          <w:rFonts w:asciiTheme="minorHAnsi" w:hAnsiTheme="minorHAnsi" w:cstheme="minorHAnsi"/>
          <w:sz w:val="22"/>
          <w:szCs w:val="22"/>
        </w:rPr>
        <w:t xml:space="preserve"> této smlouvy, jako její příloh</w:t>
      </w:r>
      <w:r w:rsidR="005267B6">
        <w:rPr>
          <w:rFonts w:asciiTheme="minorHAnsi" w:hAnsiTheme="minorHAnsi" w:cstheme="minorHAnsi"/>
          <w:sz w:val="22"/>
          <w:szCs w:val="22"/>
        </w:rPr>
        <w:t>a</w:t>
      </w:r>
      <w:r w:rsidRPr="00F163A9">
        <w:rPr>
          <w:rFonts w:asciiTheme="minorHAnsi" w:hAnsiTheme="minorHAnsi" w:cstheme="minorHAnsi"/>
          <w:sz w:val="22"/>
          <w:szCs w:val="22"/>
        </w:rPr>
        <w:t xml:space="preserve"> č. 1</w:t>
      </w:r>
      <w:r w:rsidR="00A21322">
        <w:rPr>
          <w:rFonts w:asciiTheme="minorHAnsi" w:hAnsiTheme="minorHAnsi" w:cstheme="minorHAnsi"/>
          <w:sz w:val="22"/>
          <w:szCs w:val="22"/>
        </w:rPr>
        <w:t>.</w:t>
      </w:r>
      <w:r w:rsidRPr="00F16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CC289" w14:textId="253728E3" w:rsidR="00704979" w:rsidRDefault="00704979" w:rsidP="00704979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napToGrid w:val="0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734E5B0F" w14:textId="6E8D27E4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dpad vzniklý během realizace </w:t>
      </w:r>
      <w:r w:rsidR="00236507">
        <w:rPr>
          <w:rFonts w:asciiTheme="minorHAnsi" w:hAnsiTheme="minorHAnsi" w:cstheme="minorHAnsi"/>
          <w:sz w:val="22"/>
          <w:szCs w:val="22"/>
        </w:rPr>
        <w:t>díla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nakládáno dle zákona č. </w:t>
      </w:r>
      <w:r w:rsidR="008F1D98">
        <w:rPr>
          <w:rFonts w:asciiTheme="minorHAnsi" w:hAnsiTheme="minorHAnsi" w:cstheme="minorHAnsi"/>
          <w:sz w:val="22"/>
          <w:szCs w:val="22"/>
        </w:rPr>
        <w:t>541</w:t>
      </w:r>
      <w:r w:rsidR="00675B4F" w:rsidRPr="00C3658E">
        <w:rPr>
          <w:rFonts w:asciiTheme="minorHAnsi" w:hAnsiTheme="minorHAnsi" w:cstheme="minorHAnsi"/>
          <w:sz w:val="22"/>
          <w:szCs w:val="22"/>
        </w:rPr>
        <w:t>/20</w:t>
      </w:r>
      <w:r w:rsidR="008F1D98">
        <w:rPr>
          <w:rFonts w:asciiTheme="minorHAnsi" w:hAnsiTheme="minorHAnsi" w:cstheme="minorHAnsi"/>
          <w:sz w:val="22"/>
          <w:szCs w:val="22"/>
        </w:rPr>
        <w:t>20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Sb</w:t>
      </w:r>
      <w:r w:rsidRPr="00C3658E">
        <w:rPr>
          <w:rFonts w:asciiTheme="minorHAnsi" w:hAnsiTheme="minorHAnsi" w:cstheme="minorHAnsi"/>
          <w:sz w:val="22"/>
          <w:szCs w:val="22"/>
        </w:rPr>
        <w:t>. o odpadech a o změně některých dalších předpisů, ve znění pozdějších předpisů;</w:t>
      </w:r>
    </w:p>
    <w:p w14:paraId="20084A4F" w14:textId="1587D5CC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 xml:space="preserve">zkoušky nebo testy související s uváděním </w:t>
      </w:r>
      <w:r w:rsidR="00236507">
        <w:rPr>
          <w:rFonts w:asciiTheme="minorHAnsi" w:hAnsiTheme="minorHAnsi" w:cstheme="minorHAnsi"/>
          <w:bCs/>
          <w:sz w:val="22"/>
          <w:szCs w:val="22"/>
        </w:rPr>
        <w:t>d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íla do stavu způsobilého k užívání a k prokázání splnění technických parametrů tak, aby </w:t>
      </w:r>
      <w:r w:rsidR="001C6901">
        <w:rPr>
          <w:rFonts w:asciiTheme="minorHAnsi" w:hAnsiTheme="minorHAnsi" w:cstheme="minorHAnsi"/>
          <w:bCs/>
          <w:sz w:val="22"/>
          <w:szCs w:val="22"/>
        </w:rPr>
        <w:t>bylo dílo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způsobil</w:t>
      </w:r>
      <w:r w:rsidR="001C6901">
        <w:rPr>
          <w:rFonts w:asciiTheme="minorHAnsi" w:hAnsiTheme="minorHAnsi" w:cstheme="minorHAnsi"/>
          <w:bCs/>
          <w:sz w:val="22"/>
          <w:szCs w:val="22"/>
        </w:rPr>
        <w:t>é</w:t>
      </w:r>
      <w:r w:rsidRPr="00C3658E">
        <w:rPr>
          <w:rFonts w:asciiTheme="minorHAnsi" w:hAnsiTheme="minorHAnsi" w:cstheme="minorHAnsi"/>
          <w:bCs/>
          <w:sz w:val="22"/>
          <w:szCs w:val="22"/>
        </w:rPr>
        <w:t xml:space="preserve"> k</w:t>
      </w:r>
      <w:r w:rsidR="001C6901">
        <w:rPr>
          <w:rFonts w:asciiTheme="minorHAnsi" w:hAnsiTheme="minorHAnsi" w:cstheme="minorHAnsi"/>
          <w:bCs/>
          <w:sz w:val="22"/>
          <w:szCs w:val="22"/>
        </w:rPr>
        <w:t> </w:t>
      </w:r>
      <w:r w:rsidRPr="00C3658E">
        <w:rPr>
          <w:rFonts w:asciiTheme="minorHAnsi" w:hAnsiTheme="minorHAnsi" w:cstheme="minorHAnsi"/>
          <w:bCs/>
          <w:sz w:val="22"/>
          <w:szCs w:val="22"/>
        </w:rPr>
        <w:t>užívání</w:t>
      </w:r>
      <w:r w:rsidR="001C69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71FD3AD6" w14:textId="016535A4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236507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24067"/>
      <w:r w:rsidRPr="00C3658E">
        <w:rPr>
          <w:rFonts w:cstheme="minorHAnsi"/>
          <w:szCs w:val="22"/>
        </w:rPr>
        <w:t>DOBA PLNĚNÍ</w:t>
      </w:r>
      <w:bookmarkEnd w:id="3"/>
    </w:p>
    <w:p w14:paraId="4B5E7FC4" w14:textId="66545157" w:rsidR="00A21322" w:rsidRPr="005267B6" w:rsidRDefault="001E7A08" w:rsidP="00194282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67B6">
        <w:rPr>
          <w:rFonts w:asciiTheme="minorHAnsi" w:hAnsiTheme="minorHAnsi" w:cstheme="minorHAnsi"/>
          <w:sz w:val="22"/>
          <w:szCs w:val="22"/>
        </w:rPr>
        <w:t>Díl</w:t>
      </w:r>
      <w:r w:rsidR="001362BE" w:rsidRPr="005267B6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33140" w:rsidRPr="005267B6">
        <w:rPr>
          <w:rFonts w:asciiTheme="minorHAnsi" w:hAnsiTheme="minorHAnsi" w:cstheme="minorHAnsi"/>
          <w:sz w:val="22"/>
          <w:szCs w:val="22"/>
        </w:rPr>
        <w:t xml:space="preserve">do </w:t>
      </w:r>
      <w:r w:rsidR="005267B6" w:rsidRPr="005267B6">
        <w:rPr>
          <w:rFonts w:asciiTheme="minorHAnsi" w:hAnsiTheme="minorHAnsi" w:cstheme="minorHAnsi"/>
          <w:sz w:val="22"/>
          <w:szCs w:val="22"/>
        </w:rPr>
        <w:t>30</w:t>
      </w:r>
      <w:r w:rsidR="00D33140" w:rsidRPr="005267B6">
        <w:rPr>
          <w:rFonts w:asciiTheme="minorHAnsi" w:hAnsiTheme="minorHAnsi" w:cstheme="minorHAnsi"/>
          <w:sz w:val="22"/>
          <w:szCs w:val="22"/>
        </w:rPr>
        <w:t xml:space="preserve">. </w:t>
      </w:r>
      <w:r w:rsidR="005267B6" w:rsidRPr="005267B6">
        <w:rPr>
          <w:rFonts w:asciiTheme="minorHAnsi" w:hAnsiTheme="minorHAnsi" w:cstheme="minorHAnsi"/>
          <w:sz w:val="22"/>
          <w:szCs w:val="22"/>
        </w:rPr>
        <w:t>12</w:t>
      </w:r>
      <w:r w:rsidR="00D33140" w:rsidRPr="005267B6">
        <w:rPr>
          <w:rFonts w:asciiTheme="minorHAnsi" w:hAnsiTheme="minorHAnsi" w:cstheme="minorHAnsi"/>
          <w:sz w:val="22"/>
          <w:szCs w:val="22"/>
        </w:rPr>
        <w:t>. 2024</w:t>
      </w:r>
      <w:r w:rsidR="00A21322" w:rsidRPr="005267B6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348F6F85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F86060" w:rsidRPr="00F86060">
        <w:rPr>
          <w:rFonts w:asciiTheme="minorHAnsi" w:hAnsiTheme="minorHAnsi" w:cstheme="minorHAnsi"/>
          <w:bCs/>
          <w:sz w:val="22"/>
          <w:szCs w:val="22"/>
        </w:rPr>
        <w:t>Obchodní akademie a vyšší odborná škola Brno, Kotlářská, příspěvková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postupovat samostatně,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4" w:name="_Ref20919205"/>
      <w:r w:rsidRPr="00C3658E">
        <w:rPr>
          <w:rFonts w:cstheme="minorHAnsi"/>
          <w:szCs w:val="22"/>
        </w:rPr>
        <w:t>CENA DÍLA</w:t>
      </w:r>
      <w:bookmarkEnd w:id="4"/>
    </w:p>
    <w:p w14:paraId="063B3255" w14:textId="73879332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BB5311">
        <w:rPr>
          <w:rFonts w:asciiTheme="minorHAnsi" w:hAnsiTheme="minorHAnsi" w:cstheme="minorHAnsi"/>
          <w:b/>
          <w:bCs/>
          <w:sz w:val="22"/>
          <w:szCs w:val="22"/>
        </w:rPr>
        <w:t>252 200</w:t>
      </w:r>
      <w:r w:rsidR="001C6901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,-</w:t>
      </w:r>
      <w:r w:rsidR="00F86060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 </w:t>
      </w:r>
      <w:r w:rsidR="001C6901" w:rsidRPr="00D33140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Kč</w:t>
      </w:r>
      <w:r w:rsidR="00F86060" w:rsidRPr="00EB778C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21481C21" w14:textId="0B2E35B3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</w:t>
      </w:r>
      <w:r w:rsidR="001C6901">
        <w:rPr>
          <w:rFonts w:asciiTheme="minorHAnsi" w:hAnsiTheme="minorHAnsi" w:cstheme="minorHAnsi"/>
          <w:sz w:val="22"/>
          <w:szCs w:val="22"/>
        </w:rPr>
        <w:t>náklady.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8EB917" w14:textId="7840EE39" w:rsidR="003672E8" w:rsidRPr="001C6901" w:rsidRDefault="00F838C6" w:rsidP="001C6901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1C6901">
        <w:rPr>
          <w:rFonts w:asciiTheme="minorHAnsi" w:hAnsiTheme="minorHAnsi" w:cstheme="minorHAnsi"/>
          <w:sz w:val="22"/>
          <w:szCs w:val="22"/>
        </w:rPr>
        <w:t xml:space="preserve"> </w:t>
      </w:r>
      <w:r w:rsidR="003672E8" w:rsidRPr="001C6901">
        <w:rPr>
          <w:rFonts w:asciiTheme="minorHAnsi" w:hAnsiTheme="minorHAnsi" w:cstheme="minorHAnsi"/>
          <w:sz w:val="22"/>
          <w:szCs w:val="22"/>
        </w:rPr>
        <w:t>dohodou Smluvních stran, pokud se Objednatel se Zhotovitelem za dále sjednaných podmínek dohodnou na provedení i jiných prací nebo dodávek</w:t>
      </w:r>
      <w:r w:rsidR="001C6901" w:rsidRPr="001C6901">
        <w:rPr>
          <w:rFonts w:asciiTheme="minorHAnsi" w:hAnsiTheme="minorHAnsi" w:cstheme="minorHAnsi"/>
          <w:sz w:val="22"/>
          <w:szCs w:val="22"/>
        </w:rPr>
        <w:t>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BE632B1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20922531"/>
      <w:r w:rsidRPr="00C3658E">
        <w:rPr>
          <w:rFonts w:asciiTheme="minorHAnsi" w:hAnsiTheme="minorHAnsi" w:cstheme="minorHAnsi"/>
          <w:sz w:val="22"/>
          <w:szCs w:val="22"/>
        </w:rPr>
        <w:t>Podkladem pro úhradu Ceny bud</w:t>
      </w:r>
      <w:r w:rsidR="00627496">
        <w:rPr>
          <w:rFonts w:asciiTheme="minorHAnsi" w:hAnsiTheme="minorHAnsi" w:cstheme="minorHAnsi"/>
          <w:sz w:val="22"/>
          <w:szCs w:val="22"/>
        </w:rPr>
        <w:t>ou</w:t>
      </w:r>
      <w:r w:rsidRPr="00C3658E">
        <w:rPr>
          <w:rFonts w:asciiTheme="minorHAnsi" w:hAnsiTheme="minorHAnsi" w:cstheme="minorHAnsi"/>
          <w:sz w:val="22"/>
          <w:szCs w:val="22"/>
        </w:rPr>
        <w:t xml:space="preserve"> daňov</w:t>
      </w:r>
      <w:r w:rsidR="00627496">
        <w:rPr>
          <w:rFonts w:asciiTheme="minorHAnsi" w:hAnsiTheme="minorHAnsi" w:cstheme="minorHAnsi"/>
          <w:sz w:val="22"/>
          <w:szCs w:val="22"/>
        </w:rPr>
        <w:t>é</w:t>
      </w:r>
      <w:r w:rsidRPr="00C3658E">
        <w:rPr>
          <w:rFonts w:asciiTheme="minorHAnsi" w:hAnsiTheme="minorHAnsi" w:cstheme="minorHAnsi"/>
          <w:sz w:val="22"/>
          <w:szCs w:val="22"/>
        </w:rPr>
        <w:t xml:space="preserve"> doklad</w:t>
      </w:r>
      <w:r w:rsidR="00627496">
        <w:rPr>
          <w:rFonts w:asciiTheme="minorHAnsi" w:hAnsiTheme="minorHAnsi" w:cstheme="minorHAnsi"/>
          <w:sz w:val="22"/>
          <w:szCs w:val="22"/>
        </w:rPr>
        <w:t>y</w:t>
      </w:r>
      <w:r w:rsidRPr="00C3658E">
        <w:rPr>
          <w:rFonts w:asciiTheme="minorHAnsi" w:hAnsiTheme="minorHAnsi" w:cstheme="minorHAnsi"/>
          <w:sz w:val="22"/>
          <w:szCs w:val="22"/>
        </w:rPr>
        <w:t xml:space="preserve">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>“), který je Zhotovitel oprávněn vystavit do 10 dnů po předání a převzetí Díla</w:t>
      </w:r>
      <w:r w:rsidR="00627496">
        <w:rPr>
          <w:rFonts w:asciiTheme="minorHAnsi" w:hAnsiTheme="minorHAnsi" w:cstheme="minorHAnsi"/>
          <w:sz w:val="22"/>
          <w:szCs w:val="22"/>
        </w:rPr>
        <w:t xml:space="preserve"> nebo jeho části </w:t>
      </w:r>
      <w:r w:rsidRPr="009D110F">
        <w:rPr>
          <w:rFonts w:asciiTheme="minorHAnsi" w:hAnsiTheme="minorHAnsi" w:cstheme="minorHAnsi"/>
          <w:sz w:val="22"/>
          <w:szCs w:val="22"/>
        </w:rPr>
        <w:t>Objednatelem na základě protokolu o předání a převzetí Díla</w:t>
      </w:r>
      <w:r w:rsidR="00627496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9D110F">
        <w:rPr>
          <w:rFonts w:asciiTheme="minorHAnsi" w:hAnsiTheme="minorHAnsi" w:cstheme="minorHAnsi"/>
          <w:sz w:val="22"/>
          <w:szCs w:val="22"/>
        </w:rPr>
        <w:t xml:space="preserve">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</w:t>
      </w:r>
      <w:r w:rsidR="00CF680D">
        <w:rPr>
          <w:rFonts w:asciiTheme="minorHAnsi" w:hAnsiTheme="minorHAnsi" w:cstheme="minorHAnsi"/>
          <w:sz w:val="22"/>
          <w:szCs w:val="22"/>
        </w:rPr>
        <w:t xml:space="preserve"> oběma</w:t>
      </w:r>
      <w:r w:rsidRPr="009D110F">
        <w:rPr>
          <w:rFonts w:asciiTheme="minorHAnsi" w:hAnsiTheme="minorHAnsi" w:cstheme="minorHAnsi"/>
          <w:sz w:val="22"/>
          <w:szCs w:val="22"/>
        </w:rPr>
        <w:t xml:space="preserve"> </w:t>
      </w:r>
      <w:r w:rsidR="00CF680D">
        <w:rPr>
          <w:rFonts w:asciiTheme="minorHAnsi" w:hAnsiTheme="minorHAnsi" w:cstheme="minorHAnsi"/>
          <w:sz w:val="22"/>
          <w:szCs w:val="22"/>
        </w:rPr>
        <w:t>smluvními</w:t>
      </w:r>
      <w:r w:rsidRPr="009D110F">
        <w:rPr>
          <w:rFonts w:asciiTheme="minorHAnsi" w:hAnsiTheme="minorHAnsi" w:cstheme="minorHAnsi"/>
          <w:sz w:val="22"/>
          <w:szCs w:val="22"/>
        </w:rPr>
        <w:t xml:space="preserve"> stran</w:t>
      </w:r>
      <w:r w:rsidR="00CF680D">
        <w:rPr>
          <w:rFonts w:asciiTheme="minorHAnsi" w:hAnsiTheme="minorHAnsi" w:cstheme="minorHAnsi"/>
          <w:sz w:val="22"/>
          <w:szCs w:val="22"/>
        </w:rPr>
        <w:t>ami</w:t>
      </w:r>
      <w:r w:rsidRPr="009D110F">
        <w:rPr>
          <w:rFonts w:asciiTheme="minorHAnsi" w:hAnsiTheme="minorHAnsi" w:cstheme="minorHAnsi"/>
          <w:sz w:val="22"/>
          <w:szCs w:val="22"/>
        </w:rPr>
        <w:t>. Protokol o předání a převzetí Díla</w:t>
      </w:r>
      <w:r w:rsidR="006B6D6B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9D110F">
        <w:rPr>
          <w:rFonts w:asciiTheme="minorHAnsi" w:hAnsiTheme="minorHAnsi" w:cstheme="minorHAnsi"/>
          <w:sz w:val="22"/>
          <w:szCs w:val="22"/>
        </w:rPr>
        <w:t xml:space="preserve">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69F65606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 xml:space="preserve"> kalendářních dnů od jejího doručení Objednateli, a to bezhotovostně na účet Zhotovitele uvedený v této Smlouvě. Datem uskutečnění zdanitelného plnění se rozumí datum podpisu protokolu o předání a převzetí Díla </w:t>
      </w:r>
      <w:r w:rsidR="00627496">
        <w:rPr>
          <w:rFonts w:asciiTheme="minorHAnsi" w:hAnsiTheme="minorHAnsi" w:cstheme="minorHAnsi"/>
          <w:sz w:val="22"/>
          <w:szCs w:val="22"/>
        </w:rPr>
        <w:t xml:space="preserve">nebo jeho části </w:t>
      </w:r>
      <w:r w:rsidRPr="00C3658E">
        <w:rPr>
          <w:rFonts w:asciiTheme="minorHAnsi" w:hAnsiTheme="minorHAnsi" w:cstheme="minorHAnsi"/>
          <w:sz w:val="22"/>
          <w:szCs w:val="22"/>
        </w:rPr>
        <w:t>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5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6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40756303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>písemného oznámení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25ABD9C0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ODSTOUPENÍ OD SMLOUVY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7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7"/>
    </w:p>
    <w:p w14:paraId="529653A4" w14:textId="64509A3E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F20543">
        <w:rPr>
          <w:rFonts w:asciiTheme="minorHAnsi" w:hAnsiTheme="minorHAnsi" w:cstheme="minorHAnsi"/>
          <w:sz w:val="22"/>
          <w:szCs w:val="22"/>
        </w:rPr>
        <w:t xml:space="preserve">nebo jeho část </w:t>
      </w:r>
      <w:r w:rsidRPr="00C3658E">
        <w:rPr>
          <w:rFonts w:asciiTheme="minorHAnsi" w:hAnsiTheme="minorHAnsi" w:cstheme="minorHAnsi"/>
          <w:sz w:val="22"/>
          <w:szCs w:val="22"/>
        </w:rPr>
        <w:t>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4DED6349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</w:t>
      </w:r>
      <w:proofErr w:type="gramStart"/>
      <w:r w:rsidR="00B2570A" w:rsidRPr="00C3658E">
        <w:rPr>
          <w:rFonts w:asciiTheme="minorHAnsi" w:hAnsiTheme="minorHAnsi" w:cstheme="minorHAnsi"/>
          <w:sz w:val="22"/>
          <w:szCs w:val="22"/>
        </w:rPr>
        <w:t>),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C3658E">
        <w:rPr>
          <w:rFonts w:asciiTheme="minorHAnsi" w:hAnsiTheme="minorHAnsi" w:cstheme="minorHAnsi"/>
          <w:sz w:val="22"/>
          <w:szCs w:val="22"/>
        </w:rPr>
        <w:t xml:space="preserve"> Zhotovitel se zavazuje poskytnout Objednateli veškerou součinnost potřebnou k předání Díla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</w:t>
      </w:r>
      <w:r w:rsidR="006B6D6B">
        <w:rPr>
          <w:rFonts w:asciiTheme="minorHAnsi" w:hAnsiTheme="minorHAnsi" w:cstheme="minorHAnsi"/>
          <w:sz w:val="22"/>
          <w:szCs w:val="22"/>
        </w:rPr>
        <w:t>t</w:t>
      </w:r>
      <w:r w:rsidR="00F20543">
        <w:rPr>
          <w:rFonts w:asciiTheme="minorHAnsi" w:hAnsiTheme="minorHAnsi" w:cstheme="minorHAnsi"/>
          <w:sz w:val="22"/>
          <w:szCs w:val="22"/>
        </w:rPr>
        <w:t>i</w:t>
      </w:r>
      <w:r w:rsidRPr="00C3658E">
        <w:rPr>
          <w:rFonts w:asciiTheme="minorHAnsi" w:hAnsiTheme="minorHAnsi" w:cstheme="minorHAnsi"/>
          <w:sz w:val="22"/>
          <w:szCs w:val="22"/>
        </w:rPr>
        <w:t xml:space="preserve">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8"/>
    </w:p>
    <w:p w14:paraId="488A6383" w14:textId="545B041B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F20543">
        <w:rPr>
          <w:rFonts w:asciiTheme="minorHAnsi" w:hAnsiTheme="minorHAnsi" w:cstheme="minorHAnsi"/>
          <w:sz w:val="22"/>
          <w:szCs w:val="22"/>
        </w:rPr>
        <w:t xml:space="preserve">nebo jeho část </w:t>
      </w:r>
      <w:r w:rsidRPr="00C3658E">
        <w:rPr>
          <w:rFonts w:asciiTheme="minorHAnsi" w:hAnsiTheme="minorHAnsi" w:cstheme="minorHAnsi"/>
          <w:sz w:val="22"/>
          <w:szCs w:val="22"/>
        </w:rPr>
        <w:t xml:space="preserve">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C3658E">
        <w:rPr>
          <w:rFonts w:asciiTheme="minorHAnsi" w:hAnsiTheme="minorHAnsi" w:cstheme="minorHAnsi"/>
          <w:sz w:val="22"/>
          <w:szCs w:val="22"/>
        </w:rPr>
        <w:t xml:space="preserve">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</w:t>
      </w:r>
      <w:r w:rsidR="00F20543">
        <w:rPr>
          <w:rFonts w:asciiTheme="minorHAnsi" w:hAnsiTheme="minorHAnsi" w:cstheme="minorHAnsi"/>
          <w:sz w:val="22"/>
          <w:szCs w:val="22"/>
        </w:rPr>
        <w:t xml:space="preserve"> nebo jeho části</w:t>
      </w:r>
      <w:r w:rsidRPr="00C3658E">
        <w:rPr>
          <w:rFonts w:asciiTheme="minorHAnsi" w:hAnsiTheme="minorHAnsi" w:cstheme="minorHAnsi"/>
          <w:sz w:val="22"/>
          <w:szCs w:val="22"/>
        </w:rPr>
        <w:t xml:space="preserve">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94D60" w:rsidRPr="00D700F8">
        <w:rPr>
          <w:rFonts w:asciiTheme="minorHAnsi" w:hAnsiTheme="minorHAnsi" w:cstheme="minorHAnsi"/>
          <w:snapToGrid w:val="0"/>
          <w:sz w:val="22"/>
          <w:szCs w:val="22"/>
        </w:rPr>
        <w:t>Smluvní strany se dohodly, že uveřejnění v registru smluv provede Objednatel.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ustanovením jiným, účinným, které svým obsahem a smyslem odpovídá nejlépe obsahu a smyslu ustanovení původního, neúčinného.</w:t>
      </w:r>
    </w:p>
    <w:p w14:paraId="4DC77841" w14:textId="1D145948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u uzavřely po vzájemném projednání podle jejich svobodné a pravé vůle projevené určitě a srozumitelně.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9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9"/>
          <w:p w14:paraId="7E8A5F1C" w14:textId="46B9A0CE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311" w:rsidRPr="00BB531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(dle el. podpisu)</w:t>
            </w:r>
          </w:p>
        </w:tc>
        <w:tc>
          <w:tcPr>
            <w:tcW w:w="4530" w:type="dxa"/>
          </w:tcPr>
          <w:p w14:paraId="1D6FC3B0" w14:textId="50BF911A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BB53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5311" w:rsidRPr="00BB531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(dle el. podpisu)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22E1617C" w14:textId="77777777" w:rsidR="00F86060" w:rsidRDefault="00F86060" w:rsidP="00F86060">
            <w:pPr>
              <w:suppressAutoHyphens w:val="0"/>
              <w:ind w:left="37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 w:rsidRPr="001D40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 a vyšší odborná škola Brno, Kotlářská, příspěvková organizace</w:t>
            </w:r>
          </w:p>
          <w:p w14:paraId="036C9CED" w14:textId="46BEDAEC" w:rsidR="00475E85" w:rsidRPr="006F55F9" w:rsidRDefault="00475E85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8CCF255" w14:textId="2B2FE3A1" w:rsidR="00D15BA0" w:rsidRPr="00D15BA0" w:rsidRDefault="00D15BA0" w:rsidP="00D15BA0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Střední škola stavebních řemesel Brno-Bosonohy, příspěvková organizace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21BF6BD1" w:rsidR="00ED0669" w:rsidRPr="00C3658E" w:rsidRDefault="00F86060" w:rsidP="00F86060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6F55F9"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 w:rsidR="006F5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33707C19" w:rsidR="00ED0669" w:rsidRPr="00C3658E" w:rsidRDefault="00D15BA0" w:rsidP="00D15BA0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5B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Jiří Košťál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150E29" w14:textId="77777777" w:rsidR="00185565" w:rsidRDefault="00185565" w:rsidP="00185565">
      <w:pPr>
        <w:suppressAutoHyphens w:val="0"/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Přílohy smlouvy:</w:t>
      </w:r>
    </w:p>
    <w:p w14:paraId="3BCD2777" w14:textId="533AAB72" w:rsidR="00185565" w:rsidRDefault="00185565" w:rsidP="00185565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Příloha č. 1: Rozpočet – oceněný Soupis dodávek</w:t>
      </w:r>
    </w:p>
    <w:p w14:paraId="486FE1A3" w14:textId="17A8EFF0" w:rsidR="00185565" w:rsidRDefault="00185565" w:rsidP="00185565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2030F98" w14:textId="77777777" w:rsidR="00616E36" w:rsidRPr="00EA263D" w:rsidRDefault="00616E36" w:rsidP="005960C3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BFB" w14:textId="77777777" w:rsidR="00C0097C" w:rsidRDefault="00C0097C">
      <w:r>
        <w:separator/>
      </w:r>
    </w:p>
  </w:endnote>
  <w:endnote w:type="continuationSeparator" w:id="0">
    <w:p w14:paraId="4A4D4B49" w14:textId="77777777" w:rsidR="00C0097C" w:rsidRDefault="00C0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3E5C87FA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AA0A0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AA0A0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78BE" w14:textId="77777777" w:rsidR="00C0097C" w:rsidRDefault="00C0097C">
      <w:r>
        <w:separator/>
      </w:r>
    </w:p>
  </w:footnote>
  <w:footnote w:type="continuationSeparator" w:id="0">
    <w:p w14:paraId="72428518" w14:textId="77777777" w:rsidR="00C0097C" w:rsidRDefault="00C0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CA3426E"/>
    <w:multiLevelType w:val="hybridMultilevel"/>
    <w:tmpl w:val="B412B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8D07561"/>
    <w:multiLevelType w:val="hybridMultilevel"/>
    <w:tmpl w:val="BCA6A7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97D67E9"/>
    <w:multiLevelType w:val="hybridMultilevel"/>
    <w:tmpl w:val="2D662890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7D2C"/>
    <w:multiLevelType w:val="hybridMultilevel"/>
    <w:tmpl w:val="C99E614C"/>
    <w:lvl w:ilvl="0" w:tplc="C11CECE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411453"/>
    <w:multiLevelType w:val="hybridMultilevel"/>
    <w:tmpl w:val="0A884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7161"/>
    <w:multiLevelType w:val="hybridMultilevel"/>
    <w:tmpl w:val="C096E1E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23"/>
  </w:num>
  <w:num w:numId="5">
    <w:abstractNumId w:val="31"/>
  </w:num>
  <w:num w:numId="6">
    <w:abstractNumId w:val="14"/>
  </w:num>
  <w:num w:numId="7">
    <w:abstractNumId w:val="28"/>
  </w:num>
  <w:num w:numId="8">
    <w:abstractNumId w:val="12"/>
  </w:num>
  <w:num w:numId="9">
    <w:abstractNumId w:val="33"/>
  </w:num>
  <w:num w:numId="10">
    <w:abstractNumId w:val="35"/>
  </w:num>
  <w:num w:numId="11">
    <w:abstractNumId w:val="27"/>
  </w:num>
  <w:num w:numId="12">
    <w:abstractNumId w:val="17"/>
  </w:num>
  <w:num w:numId="13">
    <w:abstractNumId w:val="26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24"/>
  </w:num>
  <w:num w:numId="24">
    <w:abstractNumId w:val="34"/>
  </w:num>
  <w:num w:numId="25">
    <w:abstractNumId w:val="16"/>
  </w:num>
  <w:num w:numId="26">
    <w:abstractNumId w:val="20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6024"/>
    <w:rsid w:val="00006BC8"/>
    <w:rsid w:val="00010FDE"/>
    <w:rsid w:val="00012096"/>
    <w:rsid w:val="00012B4A"/>
    <w:rsid w:val="00012F6A"/>
    <w:rsid w:val="000131E5"/>
    <w:rsid w:val="0001599B"/>
    <w:rsid w:val="00015E9A"/>
    <w:rsid w:val="00020534"/>
    <w:rsid w:val="00020966"/>
    <w:rsid w:val="00020A49"/>
    <w:rsid w:val="000232DF"/>
    <w:rsid w:val="00024387"/>
    <w:rsid w:val="00025DF2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4DDB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554A"/>
    <w:rsid w:val="000C675A"/>
    <w:rsid w:val="000D0B41"/>
    <w:rsid w:val="000D3CF0"/>
    <w:rsid w:val="000E56F2"/>
    <w:rsid w:val="000E7060"/>
    <w:rsid w:val="000F26E8"/>
    <w:rsid w:val="000F6896"/>
    <w:rsid w:val="00100836"/>
    <w:rsid w:val="00103261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3683F"/>
    <w:rsid w:val="001414D5"/>
    <w:rsid w:val="0014161A"/>
    <w:rsid w:val="0014575C"/>
    <w:rsid w:val="00150C82"/>
    <w:rsid w:val="00151666"/>
    <w:rsid w:val="00154C91"/>
    <w:rsid w:val="00155640"/>
    <w:rsid w:val="0015587D"/>
    <w:rsid w:val="001617C4"/>
    <w:rsid w:val="00161998"/>
    <w:rsid w:val="00162E47"/>
    <w:rsid w:val="0016409D"/>
    <w:rsid w:val="00164DE4"/>
    <w:rsid w:val="001650CA"/>
    <w:rsid w:val="001666DA"/>
    <w:rsid w:val="001668A3"/>
    <w:rsid w:val="0016785A"/>
    <w:rsid w:val="00174CF2"/>
    <w:rsid w:val="00175C51"/>
    <w:rsid w:val="00176570"/>
    <w:rsid w:val="0018015B"/>
    <w:rsid w:val="00182CAA"/>
    <w:rsid w:val="00185261"/>
    <w:rsid w:val="00185565"/>
    <w:rsid w:val="00185EC9"/>
    <w:rsid w:val="001869AE"/>
    <w:rsid w:val="00186A11"/>
    <w:rsid w:val="00192FE5"/>
    <w:rsid w:val="00194571"/>
    <w:rsid w:val="001A010B"/>
    <w:rsid w:val="001A048C"/>
    <w:rsid w:val="001A19F9"/>
    <w:rsid w:val="001A23F5"/>
    <w:rsid w:val="001A7294"/>
    <w:rsid w:val="001B1701"/>
    <w:rsid w:val="001B3FD9"/>
    <w:rsid w:val="001B596A"/>
    <w:rsid w:val="001C2A17"/>
    <w:rsid w:val="001C5DA9"/>
    <w:rsid w:val="001C6901"/>
    <w:rsid w:val="001C7D42"/>
    <w:rsid w:val="001D3F88"/>
    <w:rsid w:val="001D403F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6507"/>
    <w:rsid w:val="002374F6"/>
    <w:rsid w:val="00237770"/>
    <w:rsid w:val="00237E80"/>
    <w:rsid w:val="002404BF"/>
    <w:rsid w:val="00244B4C"/>
    <w:rsid w:val="00246B7D"/>
    <w:rsid w:val="00247C5E"/>
    <w:rsid w:val="00253471"/>
    <w:rsid w:val="002566FB"/>
    <w:rsid w:val="002577C2"/>
    <w:rsid w:val="0026012A"/>
    <w:rsid w:val="0026579E"/>
    <w:rsid w:val="0026643B"/>
    <w:rsid w:val="002676DF"/>
    <w:rsid w:val="0027005D"/>
    <w:rsid w:val="002725C4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B7419"/>
    <w:rsid w:val="002C44E7"/>
    <w:rsid w:val="002C5B97"/>
    <w:rsid w:val="002C64A4"/>
    <w:rsid w:val="002D2EC0"/>
    <w:rsid w:val="002D474B"/>
    <w:rsid w:val="002D5691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16702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2CB3"/>
    <w:rsid w:val="0037555D"/>
    <w:rsid w:val="0037576B"/>
    <w:rsid w:val="00376A31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191F"/>
    <w:rsid w:val="003E2089"/>
    <w:rsid w:val="003E2375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34FE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119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B6905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F0C3D"/>
    <w:rsid w:val="004F5A16"/>
    <w:rsid w:val="004F67CD"/>
    <w:rsid w:val="0050050C"/>
    <w:rsid w:val="00506665"/>
    <w:rsid w:val="005100CA"/>
    <w:rsid w:val="00516E5B"/>
    <w:rsid w:val="00517DF1"/>
    <w:rsid w:val="0052011B"/>
    <w:rsid w:val="0052149D"/>
    <w:rsid w:val="00523CE2"/>
    <w:rsid w:val="0052568F"/>
    <w:rsid w:val="005267B6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960C3"/>
    <w:rsid w:val="005A2200"/>
    <w:rsid w:val="005A257B"/>
    <w:rsid w:val="005A3CB9"/>
    <w:rsid w:val="005A420F"/>
    <w:rsid w:val="005B1DDC"/>
    <w:rsid w:val="005B2577"/>
    <w:rsid w:val="005B4C51"/>
    <w:rsid w:val="005B65E4"/>
    <w:rsid w:val="005B7B03"/>
    <w:rsid w:val="005C2636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5D6"/>
    <w:rsid w:val="00600F47"/>
    <w:rsid w:val="006059BF"/>
    <w:rsid w:val="00606F68"/>
    <w:rsid w:val="006161AE"/>
    <w:rsid w:val="00616E36"/>
    <w:rsid w:val="0061714B"/>
    <w:rsid w:val="00627496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3C7C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6D6B"/>
    <w:rsid w:val="006B7716"/>
    <w:rsid w:val="006C23C1"/>
    <w:rsid w:val="006C494D"/>
    <w:rsid w:val="006C4EC6"/>
    <w:rsid w:val="006C4EDE"/>
    <w:rsid w:val="006D47DB"/>
    <w:rsid w:val="006D4CD3"/>
    <w:rsid w:val="006D700F"/>
    <w:rsid w:val="006E0842"/>
    <w:rsid w:val="006E24CF"/>
    <w:rsid w:val="006E4C0C"/>
    <w:rsid w:val="006E54E5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979"/>
    <w:rsid w:val="00704F78"/>
    <w:rsid w:val="00710441"/>
    <w:rsid w:val="00710914"/>
    <w:rsid w:val="00711613"/>
    <w:rsid w:val="00711F2B"/>
    <w:rsid w:val="007121D5"/>
    <w:rsid w:val="00713B1D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815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44BF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A6F01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1D98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226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277"/>
    <w:rsid w:val="00A15A26"/>
    <w:rsid w:val="00A21322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549B3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0A03"/>
    <w:rsid w:val="00AA15C6"/>
    <w:rsid w:val="00AA261B"/>
    <w:rsid w:val="00AA3833"/>
    <w:rsid w:val="00AB37F7"/>
    <w:rsid w:val="00AB407A"/>
    <w:rsid w:val="00AB4DCB"/>
    <w:rsid w:val="00AC20D0"/>
    <w:rsid w:val="00AC351C"/>
    <w:rsid w:val="00AC38C8"/>
    <w:rsid w:val="00AC5384"/>
    <w:rsid w:val="00AD0906"/>
    <w:rsid w:val="00AD3A95"/>
    <w:rsid w:val="00AD450F"/>
    <w:rsid w:val="00AE2E16"/>
    <w:rsid w:val="00AE5292"/>
    <w:rsid w:val="00B00CF9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7445"/>
    <w:rsid w:val="00B5005E"/>
    <w:rsid w:val="00B525F5"/>
    <w:rsid w:val="00B61348"/>
    <w:rsid w:val="00B63658"/>
    <w:rsid w:val="00B63A6F"/>
    <w:rsid w:val="00B6593C"/>
    <w:rsid w:val="00B73388"/>
    <w:rsid w:val="00B74810"/>
    <w:rsid w:val="00B76828"/>
    <w:rsid w:val="00B7731C"/>
    <w:rsid w:val="00B776E7"/>
    <w:rsid w:val="00B80C92"/>
    <w:rsid w:val="00B8133C"/>
    <w:rsid w:val="00B82B70"/>
    <w:rsid w:val="00B86C95"/>
    <w:rsid w:val="00B90BFD"/>
    <w:rsid w:val="00B91467"/>
    <w:rsid w:val="00B92ACA"/>
    <w:rsid w:val="00B94D9C"/>
    <w:rsid w:val="00B962B7"/>
    <w:rsid w:val="00BA3F44"/>
    <w:rsid w:val="00BA66FE"/>
    <w:rsid w:val="00BB5311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E77F5"/>
    <w:rsid w:val="00BF1177"/>
    <w:rsid w:val="00BF21C6"/>
    <w:rsid w:val="00BF32A3"/>
    <w:rsid w:val="00BF4692"/>
    <w:rsid w:val="00BF4ACC"/>
    <w:rsid w:val="00BF4C8C"/>
    <w:rsid w:val="00C0097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CF680D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5BA0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140"/>
    <w:rsid w:val="00D33990"/>
    <w:rsid w:val="00D36039"/>
    <w:rsid w:val="00D4152B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4EDF"/>
    <w:rsid w:val="00D66998"/>
    <w:rsid w:val="00D6751C"/>
    <w:rsid w:val="00D67C65"/>
    <w:rsid w:val="00D700F8"/>
    <w:rsid w:val="00D70FEB"/>
    <w:rsid w:val="00D723B1"/>
    <w:rsid w:val="00D778B7"/>
    <w:rsid w:val="00D81013"/>
    <w:rsid w:val="00D84CC8"/>
    <w:rsid w:val="00D85B33"/>
    <w:rsid w:val="00D865F1"/>
    <w:rsid w:val="00D935AB"/>
    <w:rsid w:val="00D9561B"/>
    <w:rsid w:val="00DA4239"/>
    <w:rsid w:val="00DB00D8"/>
    <w:rsid w:val="00DB5C74"/>
    <w:rsid w:val="00DB636D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453E"/>
    <w:rsid w:val="00E374E0"/>
    <w:rsid w:val="00E37628"/>
    <w:rsid w:val="00E40759"/>
    <w:rsid w:val="00E40889"/>
    <w:rsid w:val="00E4093F"/>
    <w:rsid w:val="00E415F8"/>
    <w:rsid w:val="00E463F8"/>
    <w:rsid w:val="00E47848"/>
    <w:rsid w:val="00E512C6"/>
    <w:rsid w:val="00E5253A"/>
    <w:rsid w:val="00E547C4"/>
    <w:rsid w:val="00E56203"/>
    <w:rsid w:val="00E5782F"/>
    <w:rsid w:val="00E60427"/>
    <w:rsid w:val="00E6590B"/>
    <w:rsid w:val="00E65BC9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63A9"/>
    <w:rsid w:val="00F1782D"/>
    <w:rsid w:val="00F20543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77262"/>
    <w:rsid w:val="00F80AD8"/>
    <w:rsid w:val="00F812FC"/>
    <w:rsid w:val="00F82160"/>
    <w:rsid w:val="00F83324"/>
    <w:rsid w:val="00F838C6"/>
    <w:rsid w:val="00F83BCD"/>
    <w:rsid w:val="00F84F87"/>
    <w:rsid w:val="00F86060"/>
    <w:rsid w:val="00F87C9E"/>
    <w:rsid w:val="00F95F63"/>
    <w:rsid w:val="00F978A4"/>
    <w:rsid w:val="00FA2F8B"/>
    <w:rsid w:val="00FA3147"/>
    <w:rsid w:val="00FA4EFB"/>
    <w:rsid w:val="00FA65D0"/>
    <w:rsid w:val="00FB3D1F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1803"/>
    <w:rsid w:val="00FE3C71"/>
    <w:rsid w:val="00FE77F1"/>
    <w:rsid w:val="00FF4461"/>
    <w:rsid w:val="00FF4713"/>
    <w:rsid w:val="00FF4B54"/>
    <w:rsid w:val="00FF4C15"/>
    <w:rsid w:val="00FF4E6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680E-8307-4CC2-9B15-E5FB0725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1901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2021-06-28T11:33:00Z</cp:lastPrinted>
  <dcterms:created xsi:type="dcterms:W3CDTF">2024-12-04T12:30:00Z</dcterms:created>
  <dcterms:modified xsi:type="dcterms:W3CDTF">2024-12-04T12:54:00Z</dcterms:modified>
</cp:coreProperties>
</file>