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after="460" w:line="336" w:lineRule="auto"/>
        <w:ind w:left="0" w:right="0" w:firstLine="0"/>
        <w:jc w:val="center"/>
      </w:pPr>
      <w:r>
        <w:rPr>
          <w:b/>
          <w:bCs/>
          <w:color w:val="000000"/>
          <w:spacing w:val="0"/>
          <w:w w:val="100"/>
          <w:position w:val="0"/>
          <w:sz w:val="28"/>
          <w:szCs w:val="28"/>
          <w:shd w:val="clear" w:color="auto" w:fill="auto"/>
          <w:lang w:val="cs-CZ" w:eastAsia="cs-CZ" w:bidi="cs-CZ"/>
        </w:rPr>
        <w:t>D O D A T E K č. 1</w:t>
        <w:br/>
        <w:t>K N Á J E M N Í S M L O U V Ě č. 343/2019</w:t>
        <w:br/>
      </w:r>
      <w:r>
        <w:rPr>
          <w:b/>
          <w:bCs/>
          <w:color w:val="000000"/>
          <w:spacing w:val="0"/>
          <w:w w:val="100"/>
          <w:position w:val="0"/>
          <w:shd w:val="clear" w:color="auto" w:fill="auto"/>
          <w:lang w:val="cs-CZ" w:eastAsia="cs-CZ" w:bidi="cs-CZ"/>
        </w:rPr>
        <w:t>uzavřené dne 29. 10. 2019</w:t>
        <w:br/>
      </w:r>
      <w:r>
        <w:rPr>
          <w:color w:val="000000"/>
          <w:spacing w:val="0"/>
          <w:w w:val="100"/>
          <w:position w:val="0"/>
          <w:shd w:val="clear" w:color="auto" w:fill="auto"/>
          <w:lang w:val="cs-CZ" w:eastAsia="cs-CZ" w:bidi="cs-CZ"/>
        </w:rPr>
        <w:t>uzavřen podle § 2201 a násl. zákona č. 89/2012 Sb., občanského zákoníku v platném znění</w:t>
      </w:r>
    </w:p>
    <w:p>
      <w:pPr>
        <w:pStyle w:val="Style10"/>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Pronajímatel:</w:t>
      </w:r>
      <w:bookmarkEnd w:id="0"/>
      <w:bookmarkEnd w:id="1"/>
      <w:bookmarkEnd w:id="2"/>
    </w:p>
    <w:p>
      <w:pPr>
        <w:pStyle w:val="Style10"/>
        <w:keepNext/>
        <w:keepLines/>
        <w:widowControl w:val="0"/>
        <w:shd w:val="clear" w:color="auto" w:fill="auto"/>
        <w:bidi w:val="0"/>
        <w:spacing w:before="0" w:after="0" w:line="240" w:lineRule="auto"/>
        <w:ind w:left="0" w:right="0" w:firstLine="0"/>
        <w:jc w:val="left"/>
      </w:pPr>
      <w:bookmarkStart w:id="0" w:name="bookmark0"/>
      <w:bookmarkStart w:id="1" w:name="bookmark1"/>
      <w:bookmarkStart w:id="3" w:name="bookmark3"/>
      <w:r>
        <w:rPr>
          <w:color w:val="000000"/>
          <w:spacing w:val="0"/>
          <w:w w:val="100"/>
          <w:position w:val="0"/>
          <w:shd w:val="clear" w:color="auto" w:fill="auto"/>
          <w:lang w:val="cs-CZ" w:eastAsia="cs-CZ" w:bidi="cs-CZ"/>
        </w:rPr>
        <w:t>Povodí Ohře, státní podnik</w:t>
      </w:r>
      <w:bookmarkEnd w:id="0"/>
      <w:bookmarkEnd w:id="1"/>
      <w:bookmarkEnd w:id="3"/>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statutární orgán: Ing. Jan Svejkovský, generální ředitel zastoupený ve věcech smluvních: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p>
      <w:pPr>
        <w:pStyle w:val="Style2"/>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vložce č. 13052</w:t>
      </w:r>
    </w:p>
    <w:p>
      <w:pPr>
        <w:pStyle w:val="Style10"/>
        <w:keepNext/>
        <w:keepLines/>
        <w:widowControl w:val="0"/>
        <w:shd w:val="clear" w:color="auto" w:fill="auto"/>
        <w:bidi w:val="0"/>
        <w:spacing w:before="0" w:after="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Nájemce:</w:t>
      </w:r>
      <w:bookmarkEnd w:id="4"/>
      <w:bookmarkEnd w:id="5"/>
      <w:bookmarkEnd w:id="6"/>
    </w:p>
    <w:p>
      <w:pPr>
        <w:pStyle w:val="Style10"/>
        <w:keepNext/>
        <w:keepLines/>
        <w:widowControl w:val="0"/>
        <w:shd w:val="clear" w:color="auto" w:fill="auto"/>
        <w:bidi w:val="0"/>
        <w:spacing w:before="0" w:after="0" w:line="240" w:lineRule="auto"/>
        <w:ind w:left="0" w:right="0" w:firstLine="0"/>
        <w:jc w:val="left"/>
      </w:pPr>
      <w:bookmarkStart w:id="4" w:name="bookmark4"/>
      <w:bookmarkStart w:id="5" w:name="bookmark5"/>
      <w:bookmarkStart w:id="7" w:name="bookmark7"/>
      <w:r>
        <w:rPr>
          <w:color w:val="000000"/>
          <w:spacing w:val="0"/>
          <w:w w:val="100"/>
          <w:position w:val="0"/>
          <w:shd w:val="clear" w:color="auto" w:fill="auto"/>
          <w:lang w:val="cs-CZ" w:eastAsia="cs-CZ" w:bidi="cs-CZ"/>
        </w:rPr>
        <w:t>Český rybářský svaz, z. s., Severočeský územní svaz</w:t>
      </w:r>
      <w:bookmarkEnd w:id="4"/>
      <w:bookmarkEnd w:id="5"/>
      <w:bookmarkEnd w:id="7"/>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Střekovské nábřeží 975/51, Střekov, 400 03 Ústí nad Labem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00434132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CZ00434132</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Spolek je zapsán ve spolkovém rejstříku vedeném u Městského soudu v Praze, oddíl L, vložka 42807 (společně dále jako „účastníci“)</w:t>
      </w:r>
    </w:p>
    <w:p>
      <w:pPr>
        <w:pStyle w:val="Style2"/>
        <w:keepNext w:val="0"/>
        <w:keepLines w:val="0"/>
        <w:widowControl w:val="0"/>
        <w:shd w:val="clear" w:color="auto" w:fill="auto"/>
        <w:bidi w:val="0"/>
        <w:spacing w:before="0" w:after="0" w:line="480" w:lineRule="auto"/>
        <w:ind w:left="0" w:right="0" w:firstLine="0"/>
        <w:jc w:val="center"/>
      </w:pPr>
      <w:r>
        <w:rPr>
          <w:color w:val="000000"/>
          <w:spacing w:val="0"/>
          <w:w w:val="100"/>
          <w:position w:val="0"/>
          <w:shd w:val="clear" w:color="auto" w:fill="auto"/>
          <w:lang w:val="cs-CZ" w:eastAsia="cs-CZ" w:bidi="cs-CZ"/>
        </w:rPr>
        <w:t>uzavírají níže uvedeného dne, měsíce, roku tento</w:t>
        <w:br/>
      </w:r>
      <w:r>
        <w:rPr>
          <w:b/>
          <w:bCs/>
          <w:color w:val="000000"/>
          <w:spacing w:val="0"/>
          <w:w w:val="100"/>
          <w:position w:val="0"/>
          <w:shd w:val="clear" w:color="auto" w:fill="auto"/>
          <w:lang w:val="cs-CZ" w:eastAsia="cs-CZ" w:bidi="cs-CZ"/>
        </w:rPr>
        <w:t>dodatek č. 1 k Nájemní smlouvě č. 343/2019 (dále jen „Smlouva“)</w:t>
      </w:r>
    </w:p>
    <w:p>
      <w:pPr>
        <w:pStyle w:val="Style10"/>
        <w:keepNext/>
        <w:keepLines/>
        <w:widowControl w:val="0"/>
        <w:numPr>
          <w:ilvl w:val="0"/>
          <w:numId w:val="1"/>
        </w:numPr>
        <w:shd w:val="clear" w:color="auto" w:fill="auto"/>
        <w:tabs>
          <w:tab w:pos="379" w:val="left"/>
        </w:tabs>
        <w:bidi w:val="0"/>
        <w:spacing w:before="0" w:after="0" w:line="480" w:lineRule="auto"/>
        <w:ind w:left="0" w:right="0" w:firstLine="0"/>
        <w:jc w:val="center"/>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 DODATKU</w:t>
      </w:r>
      <w:bookmarkEnd w:id="11"/>
      <w:bookmarkEnd w:id="8"/>
      <w:bookmarkEnd w:id="9"/>
    </w:p>
    <w:p>
      <w:pPr>
        <w:pStyle w:val="Style2"/>
        <w:keepNext w:val="0"/>
        <w:keepLines w:val="0"/>
        <w:widowControl w:val="0"/>
        <w:numPr>
          <w:ilvl w:val="0"/>
          <w:numId w:val="3"/>
        </w:numPr>
        <w:shd w:val="clear" w:color="auto" w:fill="auto"/>
        <w:tabs>
          <w:tab w:pos="379" w:val="left"/>
        </w:tabs>
        <w:bidi w:val="0"/>
        <w:spacing w:before="0" w:after="0" w:line="240" w:lineRule="auto"/>
        <w:ind w:left="440" w:right="0" w:hanging="440"/>
        <w:jc w:val="left"/>
      </w:pPr>
      <w:bookmarkStart w:id="12" w:name="bookmark12"/>
      <w:bookmarkEnd w:id="12"/>
      <w:r>
        <w:rPr>
          <w:color w:val="000000"/>
          <w:spacing w:val="0"/>
          <w:w w:val="100"/>
          <w:position w:val="0"/>
          <w:shd w:val="clear" w:color="auto" w:fill="auto"/>
          <w:lang w:val="cs-CZ" w:eastAsia="cs-CZ" w:bidi="cs-CZ"/>
        </w:rPr>
        <w:t>Na podkladě skutečností, se smluvní strany dohodly na uzavření dodatku č. 1 k nájemní smlouvě č. 343/2019 uzavřené dne 29. 10. 2019.</w:t>
      </w:r>
    </w:p>
    <w:p>
      <w:pPr>
        <w:pStyle w:val="Style2"/>
        <w:keepNext w:val="0"/>
        <w:keepLines w:val="0"/>
        <w:widowControl w:val="0"/>
        <w:numPr>
          <w:ilvl w:val="0"/>
          <w:numId w:val="3"/>
        </w:numPr>
        <w:shd w:val="clear" w:color="auto" w:fill="auto"/>
        <w:tabs>
          <w:tab w:pos="379" w:val="left"/>
        </w:tabs>
        <w:bidi w:val="0"/>
        <w:spacing w:before="0" w:after="400" w:line="240" w:lineRule="auto"/>
        <w:ind w:left="0" w:right="0" w:firstLine="0"/>
        <w:jc w:val="left"/>
      </w:pPr>
      <w:bookmarkStart w:id="13" w:name="bookmark13"/>
      <w:bookmarkEnd w:id="13"/>
      <w:r>
        <w:rPr>
          <w:color w:val="000000"/>
          <w:spacing w:val="0"/>
          <w:w w:val="100"/>
          <w:position w:val="0"/>
          <w:shd w:val="clear" w:color="auto" w:fill="auto"/>
          <w:lang w:val="cs-CZ" w:eastAsia="cs-CZ" w:bidi="cs-CZ"/>
        </w:rPr>
        <w:t>Smluvní strany se dohodly na tomto znění:</w:t>
      </w:r>
    </w:p>
    <w:p>
      <w:pPr>
        <w:pStyle w:val="Style2"/>
        <w:keepNext w:val="0"/>
        <w:keepLines w:val="0"/>
        <w:widowControl w:val="0"/>
        <w:shd w:val="clear" w:color="auto" w:fill="auto"/>
        <w:bidi w:val="0"/>
        <w:spacing w:before="0" w:after="140" w:line="240" w:lineRule="auto"/>
        <w:ind w:left="0" w:right="0" w:firstLine="0"/>
        <w:jc w:val="left"/>
      </w:pPr>
      <w:r>
        <w:rPr>
          <w:b/>
          <w:bCs/>
          <w:i/>
          <w:iCs/>
          <w:color w:val="000000"/>
          <w:spacing w:val="0"/>
          <w:w w:val="100"/>
          <w:position w:val="0"/>
          <w:shd w:val="clear" w:color="auto" w:fill="auto"/>
          <w:lang w:val="cs-CZ" w:eastAsia="cs-CZ" w:bidi="cs-CZ"/>
        </w:rPr>
        <w:t>Článek „II. Předmět nájmu“ se mění na následující znění: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Pronajímatel má právo hospodařit s majetkem státu, a to s pozemky:</w:t>
      </w:r>
    </w:p>
    <w:tbl>
      <w:tblPr>
        <w:tblOverlap w:val="never"/>
        <w:jc w:val="center"/>
        <w:tblLayout w:type="fixed"/>
      </w:tblPr>
      <w:tblGrid>
        <w:gridCol w:w="2611"/>
        <w:gridCol w:w="1392"/>
        <w:gridCol w:w="1104"/>
        <w:gridCol w:w="1666"/>
        <w:gridCol w:w="2261"/>
      </w:tblGrid>
      <w:tr>
        <w:trPr>
          <w:trHeight w:val="274" w:hRule="exact"/>
        </w:trPr>
        <w:tc>
          <w:tcPr>
            <w:gridSpan w:val="5"/>
            <w:tcBorders>
              <w:top w:val="single" w:sz="4"/>
              <w:left w:val="single" w:sz="4"/>
              <w:right w:val="single" w:sz="4"/>
            </w:tcBorders>
            <w:shd w:val="clear" w:color="auto" w:fill="FFFFFF"/>
            <w:vAlign w:val="top"/>
          </w:tcPr>
          <w:p>
            <w:pPr>
              <w:pStyle w:val="Style15"/>
              <w:keepNext w:val="0"/>
              <w:keepLines w:val="0"/>
              <w:widowControl w:val="0"/>
              <w:shd w:val="clear" w:color="auto" w:fill="auto"/>
              <w:tabs>
                <w:tab w:pos="2587" w:val="left"/>
                <w:tab w:pos="3984" w:val="left"/>
                <w:tab w:pos="5064" w:val="left"/>
                <w:tab w:pos="6691" w:val="left"/>
              </w:tabs>
              <w:bidi w:val="0"/>
              <w:spacing w:before="0" w:after="0" w:line="240" w:lineRule="auto"/>
              <w:ind w:left="0" w:right="0" w:firstLine="0"/>
              <w:jc w:val="left"/>
            </w:pPr>
            <w:r>
              <w:rPr>
                <w:b/>
                <w:bCs/>
                <w:color w:val="EBEBEB"/>
                <w:spacing w:val="0"/>
                <w:w w:val="100"/>
                <w:position w:val="0"/>
                <w:shd w:val="clear" w:color="auto" w:fill="auto"/>
                <w:lang w:val="cs-CZ" w:eastAsia="cs-CZ" w:bidi="cs-CZ"/>
              </w:rPr>
              <w:t>katastrální území</w:t>
              <w:tab/>
              <w:t>p. p. č.</w:t>
              <w:tab/>
              <w:t>LV č.</w:t>
              <w:tab/>
              <w:t>Výměra v m</w:t>
            </w:r>
            <w:r>
              <w:rPr>
                <w:b/>
                <w:bCs/>
                <w:color w:val="EBEBEB"/>
                <w:spacing w:val="0"/>
                <w:w w:val="100"/>
                <w:position w:val="0"/>
                <w:shd w:val="clear" w:color="auto" w:fill="auto"/>
                <w:vertAlign w:val="superscript"/>
                <w:lang w:val="cs-CZ" w:eastAsia="cs-CZ" w:bidi="cs-CZ"/>
              </w:rPr>
              <w:t>2</w:t>
            </w:r>
            <w:r>
              <w:rPr>
                <w:b/>
                <w:bCs/>
                <w:color w:val="EBEBEB"/>
                <w:spacing w:val="0"/>
                <w:w w:val="100"/>
                <w:position w:val="0"/>
                <w:shd w:val="clear" w:color="auto" w:fill="auto"/>
                <w:lang w:val="cs-CZ" w:eastAsia="cs-CZ" w:bidi="cs-CZ"/>
              </w:rPr>
              <w:tab/>
              <w:t>druh pozemku</w:t>
            </w:r>
          </w:p>
        </w:tc>
      </w:tr>
      <w:tr>
        <w:trPr>
          <w:trHeight w:val="23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Březno u Chomutova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1200/1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7 387 025</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vodní plocha</w:t>
            </w:r>
          </w:p>
        </w:tc>
      </w:tr>
      <w:tr>
        <w:trPr>
          <w:trHeight w:val="226" w:hRule="exact"/>
        </w:trPr>
        <w:tc>
          <w:tcPr>
            <w:gridSpan w:val="5"/>
            <w:tcBorders>
              <w:top w:val="single" w:sz="4"/>
              <w:left w:val="single" w:sz="4"/>
              <w:right w:val="single" w:sz="4"/>
            </w:tcBorders>
            <w:shd w:val="clear" w:color="auto" w:fill="FFFFFF"/>
            <w:vAlign w:val="top"/>
          </w:tcPr>
          <w:p>
            <w:pPr>
              <w:pStyle w:val="Style15"/>
              <w:keepNext w:val="0"/>
              <w:keepLines w:val="0"/>
              <w:widowControl w:val="0"/>
              <w:shd w:val="clear" w:color="auto" w:fill="auto"/>
              <w:tabs>
                <w:tab w:pos="2587" w:val="left"/>
                <w:tab w:pos="3984" w:val="left"/>
                <w:tab w:pos="5088" w:val="left"/>
                <w:tab w:pos="6754" w:val="left"/>
              </w:tabs>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Březno u Chomutova</w:t>
              <w:tab/>
            </w:r>
            <w:r>
              <w:rPr>
                <w:color w:val="000000"/>
                <w:spacing w:val="0"/>
                <w:w w:val="100"/>
                <w:position w:val="0"/>
                <w:sz w:val="18"/>
                <w:szCs w:val="18"/>
                <w:shd w:val="clear" w:color="auto" w:fill="auto"/>
                <w:lang w:val="cs-CZ" w:eastAsia="cs-CZ" w:bidi="cs-CZ"/>
              </w:rPr>
              <w:t>1200/235</w:t>
              <w:tab/>
              <w:t>61</w:t>
              <w:tab/>
              <w:t>200</w:t>
              <w:tab/>
              <w:t>vodní plocha</w:t>
            </w:r>
          </w:p>
        </w:tc>
      </w:tr>
      <w:tr>
        <w:trPr>
          <w:trHeight w:val="22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Březno u Chomutova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1200/232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226</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vodní plocha</w:t>
            </w:r>
          </w:p>
        </w:tc>
      </w:tr>
      <w:tr>
        <w:trPr>
          <w:trHeight w:val="230" w:hRule="exact"/>
        </w:trPr>
        <w:tc>
          <w:tcPr>
            <w:gridSpan w:val="5"/>
            <w:tcBorders>
              <w:top w:val="single" w:sz="4"/>
              <w:left w:val="single" w:sz="4"/>
              <w:right w:val="single" w:sz="4"/>
            </w:tcBorders>
            <w:shd w:val="clear" w:color="auto" w:fill="FFFFFF"/>
            <w:vAlign w:val="top"/>
          </w:tcPr>
          <w:p>
            <w:pPr>
              <w:pStyle w:val="Style15"/>
              <w:keepNext w:val="0"/>
              <w:keepLines w:val="0"/>
              <w:widowControl w:val="0"/>
              <w:shd w:val="clear" w:color="auto" w:fill="auto"/>
              <w:tabs>
                <w:tab w:pos="2587" w:val="left"/>
                <w:tab w:pos="3984" w:val="left"/>
                <w:tab w:pos="5088" w:val="left"/>
                <w:tab w:pos="6754" w:val="left"/>
              </w:tabs>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Březno u Chomutova</w:t>
              <w:tab/>
            </w:r>
            <w:r>
              <w:rPr>
                <w:color w:val="000000"/>
                <w:spacing w:val="0"/>
                <w:w w:val="100"/>
                <w:position w:val="0"/>
                <w:sz w:val="18"/>
                <w:szCs w:val="18"/>
                <w:shd w:val="clear" w:color="auto" w:fill="auto"/>
                <w:lang w:val="cs-CZ" w:eastAsia="cs-CZ" w:bidi="cs-CZ"/>
              </w:rPr>
              <w:t>1200/231</w:t>
              <w:tab/>
              <w:t>61</w:t>
              <w:tab/>
              <w:t>115</w:t>
              <w:tab/>
              <w:t>vodní plocha</w:t>
            </w:r>
          </w:p>
        </w:tc>
      </w:tr>
      <w:tr>
        <w:trPr>
          <w:trHeight w:val="22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Březno u Chomutova</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 1200/9</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70 959</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zast. plocha a nádvoří</w:t>
            </w:r>
          </w:p>
        </w:tc>
      </w:tr>
      <w:tr>
        <w:trPr>
          <w:trHeight w:val="226" w:hRule="exact"/>
        </w:trPr>
        <w:tc>
          <w:tcPr>
            <w:gridSpan w:val="5"/>
            <w:tcBorders>
              <w:top w:val="single" w:sz="4"/>
              <w:left w:val="single" w:sz="4"/>
              <w:right w:val="single" w:sz="4"/>
            </w:tcBorders>
            <w:shd w:val="clear" w:color="auto" w:fill="FFFFFF"/>
            <w:vAlign w:val="top"/>
          </w:tcPr>
          <w:p>
            <w:pPr>
              <w:pStyle w:val="Style15"/>
              <w:keepNext w:val="0"/>
              <w:keepLines w:val="0"/>
              <w:widowControl w:val="0"/>
              <w:shd w:val="clear" w:color="auto" w:fill="auto"/>
              <w:tabs>
                <w:tab w:pos="2587" w:val="left"/>
                <w:tab w:pos="3984" w:val="left"/>
                <w:tab w:pos="5088" w:val="left"/>
                <w:tab w:pos="6754" w:val="left"/>
              </w:tabs>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Vikletice</w:t>
              <w:tab/>
            </w:r>
            <w:r>
              <w:rPr>
                <w:color w:val="000000"/>
                <w:spacing w:val="0"/>
                <w:w w:val="100"/>
                <w:position w:val="0"/>
                <w:sz w:val="18"/>
                <w:szCs w:val="18"/>
                <w:shd w:val="clear" w:color="auto" w:fill="auto"/>
                <w:lang w:val="cs-CZ" w:eastAsia="cs-CZ" w:bidi="cs-CZ"/>
              </w:rPr>
              <w:t>400/1</w:t>
              <w:tab/>
              <w:t>17</w:t>
              <w:tab/>
              <w:t>1 930 574</w:t>
              <w:tab/>
              <w:t>vodní plocha</w:t>
            </w:r>
          </w:p>
        </w:tc>
      </w:tr>
      <w:tr>
        <w:trPr>
          <w:trHeight w:val="230"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Vikletice</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 252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262 504</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zast. plocha a nádvoří</w:t>
            </w:r>
          </w:p>
        </w:tc>
      </w:tr>
      <w:tr>
        <w:trPr>
          <w:trHeight w:val="226" w:hRule="exact"/>
        </w:trPr>
        <w:tc>
          <w:tcPr>
            <w:gridSpan w:val="5"/>
            <w:tcBorders>
              <w:top w:val="single" w:sz="4"/>
              <w:left w:val="single" w:sz="4"/>
              <w:right w:val="single" w:sz="4"/>
            </w:tcBorders>
            <w:shd w:val="clear" w:color="auto" w:fill="FFFFFF"/>
            <w:vAlign w:val="top"/>
          </w:tcPr>
          <w:p>
            <w:pPr>
              <w:pStyle w:val="Style15"/>
              <w:keepNext w:val="0"/>
              <w:keepLines w:val="0"/>
              <w:widowControl w:val="0"/>
              <w:shd w:val="clear" w:color="auto" w:fill="auto"/>
              <w:tabs>
                <w:tab w:pos="2587" w:val="left"/>
                <w:tab w:pos="3984" w:val="left"/>
                <w:tab w:pos="5088" w:val="left"/>
                <w:tab w:pos="6754" w:val="left"/>
              </w:tabs>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Vadkovice</w:t>
              <w:tab/>
            </w:r>
            <w:r>
              <w:rPr>
                <w:color w:val="000000"/>
                <w:spacing w:val="0"/>
                <w:w w:val="100"/>
                <w:position w:val="0"/>
                <w:sz w:val="18"/>
                <w:szCs w:val="18"/>
                <w:shd w:val="clear" w:color="auto" w:fill="auto"/>
                <w:lang w:val="cs-CZ" w:eastAsia="cs-CZ" w:bidi="cs-CZ"/>
              </w:rPr>
              <w:t>260</w:t>
              <w:tab/>
              <w:t>17</w:t>
              <w:tab/>
              <w:t>1 335 290</w:t>
              <w:tab/>
              <w:t>vodní plocha</w:t>
            </w:r>
          </w:p>
        </w:tc>
      </w:tr>
      <w:tr>
        <w:trPr>
          <w:trHeight w:val="22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Poláky</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298/1</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28</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1 687 287</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vodní plocha</w:t>
            </w:r>
          </w:p>
        </w:tc>
      </w:tr>
      <w:tr>
        <w:trPr>
          <w:trHeight w:val="226" w:hRule="exact"/>
        </w:trPr>
        <w:tc>
          <w:tcPr>
            <w:gridSpan w:val="5"/>
            <w:tcBorders>
              <w:top w:val="single" w:sz="4"/>
              <w:left w:val="single" w:sz="4"/>
              <w:right w:val="single" w:sz="4"/>
            </w:tcBorders>
            <w:shd w:val="clear" w:color="auto" w:fill="FFFFFF"/>
            <w:vAlign w:val="top"/>
          </w:tcPr>
          <w:p>
            <w:pPr>
              <w:pStyle w:val="Style15"/>
              <w:keepNext w:val="0"/>
              <w:keepLines w:val="0"/>
              <w:widowControl w:val="0"/>
              <w:shd w:val="clear" w:color="auto" w:fill="auto"/>
              <w:tabs>
                <w:tab w:pos="2587" w:val="left"/>
                <w:tab w:pos="3984" w:val="left"/>
                <w:tab w:pos="5088" w:val="left"/>
                <w:tab w:pos="6754" w:val="left"/>
              </w:tabs>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Tušimice</w:t>
              <w:tab/>
            </w:r>
            <w:r>
              <w:rPr>
                <w:color w:val="000000"/>
                <w:spacing w:val="0"/>
                <w:w w:val="100"/>
                <w:position w:val="0"/>
                <w:sz w:val="18"/>
                <w:szCs w:val="18"/>
                <w:shd w:val="clear" w:color="auto" w:fill="auto"/>
                <w:lang w:val="cs-CZ" w:eastAsia="cs-CZ" w:bidi="cs-CZ"/>
              </w:rPr>
              <w:t>573/1</w:t>
              <w:tab/>
              <w:t>78</w:t>
              <w:tab/>
              <w:t>241 268</w:t>
              <w:tab/>
              <w:t>vodní plocha</w:t>
            </w:r>
          </w:p>
        </w:tc>
      </w:tr>
      <w:tr>
        <w:trPr>
          <w:trHeight w:val="245"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Rokle</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600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90</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247 386</w:t>
            </w:r>
          </w:p>
        </w:tc>
        <w:tc>
          <w:tcPr>
            <w:tcBorders>
              <w:top w:val="single" w:sz="4"/>
              <w:left w:val="single" w:sz="4"/>
              <w:bottom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vodní plocha</w:t>
            </w:r>
          </w:p>
        </w:tc>
      </w:tr>
    </w:tbl>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Pozemky jsou vedeny pro katastrální území Březno u Chomutova (obec Březno), k. ú. Vikletice (obec Chbany), k. ú. Vadkovice (obec Chbany), k. ú. Poláky (obec Chbany), k.ú. Tušimice (město Kadaň) a k.ú. Rokle (obec Rokle) u Katastrálního úřadu pro Ústecký kraj, Katastrální pracoviště Chomutov (dále jen „pozemky“).</w:t>
      </w:r>
    </w:p>
    <w:p>
      <w:pPr>
        <w:pStyle w:val="Style2"/>
        <w:keepNext w:val="0"/>
        <w:keepLines w:val="0"/>
        <w:widowControl w:val="0"/>
        <w:numPr>
          <w:ilvl w:val="0"/>
          <w:numId w:val="5"/>
        </w:numPr>
        <w:shd w:val="clear" w:color="auto" w:fill="auto"/>
        <w:tabs>
          <w:tab w:pos="427" w:val="left"/>
        </w:tabs>
        <w:bidi w:val="0"/>
        <w:spacing w:before="0" w:after="0" w:line="240" w:lineRule="auto"/>
        <w:ind w:left="440" w:right="0" w:hanging="440"/>
        <w:jc w:val="both"/>
      </w:pPr>
      <w:bookmarkStart w:id="14" w:name="bookmark14"/>
      <w:bookmarkEnd w:id="14"/>
      <w:r>
        <w:rPr>
          <w:color w:val="000000"/>
          <w:spacing w:val="0"/>
          <w:w w:val="100"/>
          <w:position w:val="0"/>
          <w:shd w:val="clear" w:color="auto" w:fill="auto"/>
          <w:lang w:val="cs-CZ" w:eastAsia="cs-CZ" w:bidi="cs-CZ"/>
        </w:rPr>
        <w:t>Plocha zátopy VD Nechranice je dle manipulačního řádu 1222 ha. Je uvažována hladina zásobního prostoru jako maximální hladina pro rybářské využití. Pronajímatel pronajímá nájemci části pozemků o celkové výměře 12 206 400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tvořící VD Nechranice (dále jen </w:t>
      </w:r>
      <w:r>
        <w:rPr>
          <w:i/>
          <w:iCs/>
          <w:color w:val="000000"/>
          <w:spacing w:val="0"/>
          <w:w w:val="100"/>
          <w:position w:val="0"/>
          <w:shd w:val="clear" w:color="auto" w:fill="auto"/>
          <w:lang w:val="cs-CZ" w:eastAsia="cs-CZ" w:bidi="cs-CZ"/>
        </w:rPr>
        <w:t>„předmět nájmu“</w:t>
      </w:r>
      <w:r>
        <w:rPr>
          <w:color w:val="000000"/>
          <w:spacing w:val="0"/>
          <w:w w:val="100"/>
          <w:position w:val="0"/>
          <w:shd w:val="clear" w:color="auto" w:fill="auto"/>
          <w:lang w:val="cs-CZ" w:eastAsia="cs-CZ" w:bidi="cs-CZ"/>
        </w:rPr>
        <w:t>). Pronajímatel přenechává předmět nájmu k výkonu rybářského práva a k činnostem s tím souvisejícím.</w:t>
      </w:r>
    </w:p>
    <w:p>
      <w:pPr>
        <w:pStyle w:val="Style2"/>
        <w:keepNext w:val="0"/>
        <w:keepLines w:val="0"/>
        <w:widowControl w:val="0"/>
        <w:numPr>
          <w:ilvl w:val="0"/>
          <w:numId w:val="5"/>
        </w:numPr>
        <w:shd w:val="clear" w:color="auto" w:fill="auto"/>
        <w:tabs>
          <w:tab w:pos="427" w:val="left"/>
        </w:tabs>
        <w:bidi w:val="0"/>
        <w:spacing w:before="0" w:after="0" w:line="240" w:lineRule="auto"/>
        <w:ind w:left="440" w:right="0" w:hanging="440"/>
        <w:jc w:val="both"/>
      </w:pPr>
      <w:bookmarkStart w:id="15" w:name="bookmark15"/>
      <w:bookmarkEnd w:id="15"/>
      <w:r>
        <w:rPr>
          <w:color w:val="000000"/>
          <w:spacing w:val="0"/>
          <w:w w:val="100"/>
          <w:position w:val="0"/>
          <w:shd w:val="clear" w:color="auto" w:fill="auto"/>
          <w:lang w:val="cs-CZ" w:eastAsia="cs-CZ" w:bidi="cs-CZ"/>
        </w:rPr>
        <w:t xml:space="preserve">Předmět nájmu je vyznačen v přiloženém situačním plánku, který tvoří </w:t>
      </w:r>
      <w:r>
        <w:rPr>
          <w:i/>
          <w:iCs/>
          <w:color w:val="000000"/>
          <w:spacing w:val="0"/>
          <w:w w:val="100"/>
          <w:position w:val="0"/>
          <w:shd w:val="clear" w:color="auto" w:fill="auto"/>
          <w:lang w:val="cs-CZ" w:eastAsia="cs-CZ" w:bidi="cs-CZ"/>
        </w:rPr>
        <w:t>přílohu č. 1</w:t>
      </w:r>
      <w:r>
        <w:rPr>
          <w:color w:val="000000"/>
          <w:spacing w:val="0"/>
          <w:w w:val="100"/>
          <w:position w:val="0"/>
          <w:shd w:val="clear" w:color="auto" w:fill="auto"/>
          <w:lang w:val="cs-CZ" w:eastAsia="cs-CZ" w:bidi="cs-CZ"/>
        </w:rPr>
        <w:t xml:space="preserve"> tohoto dodatku.</w:t>
      </w:r>
    </w:p>
    <w:p>
      <w:pPr>
        <w:pStyle w:val="Style2"/>
        <w:keepNext w:val="0"/>
        <w:keepLines w:val="0"/>
        <w:widowControl w:val="0"/>
        <w:numPr>
          <w:ilvl w:val="0"/>
          <w:numId w:val="5"/>
        </w:numPr>
        <w:shd w:val="clear" w:color="auto" w:fill="auto"/>
        <w:tabs>
          <w:tab w:pos="427" w:val="left"/>
        </w:tabs>
        <w:bidi w:val="0"/>
        <w:spacing w:before="0" w:after="420" w:line="240" w:lineRule="auto"/>
        <w:ind w:left="440" w:right="0" w:hanging="440"/>
        <w:jc w:val="both"/>
      </w:pPr>
      <w:bookmarkStart w:id="16" w:name="bookmark16"/>
      <w:bookmarkEnd w:id="16"/>
      <w:r>
        <w:rPr>
          <w:color w:val="000000"/>
          <w:spacing w:val="0"/>
          <w:w w:val="100"/>
          <w:position w:val="0"/>
          <w:shd w:val="clear" w:color="auto" w:fill="auto"/>
          <w:lang w:val="cs-CZ" w:eastAsia="cs-CZ" w:bidi="cs-CZ"/>
        </w:rPr>
        <w:t>Pronajímatel nepřenechává předmět nájmu nájemci k výlučnému užívání. Předmět nájmu může být k dalším účelům využíván pronajímatelem i třetími osobami, avšak ne v rozporu s účelem nájmu, zejména výkonem rybářského práva neoprávněnými osobami a povolení provozování takových činností, které by znemožňovaly nebo ohrožovaly účel nájmu.</w:t>
      </w:r>
    </w:p>
    <w:p>
      <w:pPr>
        <w:pStyle w:val="Style2"/>
        <w:keepNext w:val="0"/>
        <w:keepLines w:val="0"/>
        <w:widowControl w:val="0"/>
        <w:shd w:val="clear" w:color="auto" w:fill="auto"/>
        <w:bidi w:val="0"/>
        <w:spacing w:before="0" w:after="180" w:line="240" w:lineRule="auto"/>
        <w:ind w:left="0" w:right="0" w:firstLine="0"/>
        <w:jc w:val="both"/>
      </w:pPr>
      <w:r>
        <w:rPr>
          <w:b/>
          <w:bCs/>
          <w:i/>
          <w:iCs/>
          <w:color w:val="000000"/>
          <w:spacing w:val="0"/>
          <w:w w:val="100"/>
          <w:position w:val="0"/>
          <w:shd w:val="clear" w:color="auto" w:fill="auto"/>
          <w:lang w:val="cs-CZ" w:eastAsia="cs-CZ" w:bidi="cs-CZ"/>
        </w:rPr>
        <w:t>V článku „IV. Doba nájmu“ se mění bod č.1 na následující znění:</w:t>
      </w:r>
    </w:p>
    <w:p>
      <w:pPr>
        <w:pStyle w:val="Style2"/>
        <w:keepNext w:val="0"/>
        <w:keepLines w:val="0"/>
        <w:widowControl w:val="0"/>
        <w:numPr>
          <w:ilvl w:val="0"/>
          <w:numId w:val="7"/>
        </w:numPr>
        <w:shd w:val="clear" w:color="auto" w:fill="auto"/>
        <w:tabs>
          <w:tab w:pos="427" w:val="left"/>
        </w:tabs>
        <w:bidi w:val="0"/>
        <w:spacing w:before="0" w:after="420" w:line="240" w:lineRule="auto"/>
        <w:ind w:left="440" w:right="0" w:hanging="440"/>
        <w:jc w:val="both"/>
      </w:pPr>
      <w:bookmarkStart w:id="17" w:name="bookmark17"/>
      <w:bookmarkEnd w:id="17"/>
      <w:r>
        <w:rPr>
          <w:color w:val="000000"/>
          <w:spacing w:val="0"/>
          <w:w w:val="100"/>
          <w:position w:val="0"/>
          <w:shd w:val="clear" w:color="auto" w:fill="auto"/>
          <w:lang w:val="cs-CZ" w:eastAsia="cs-CZ" w:bidi="cs-CZ"/>
        </w:rPr>
        <w:t>Pronajímatel pronajímá nájemci předmět nájmu uvedený v článku II. na dobu určitou, a to od 1. 1. 2025 do 31. 12. 2029.</w:t>
      </w:r>
    </w:p>
    <w:p>
      <w:pPr>
        <w:pStyle w:val="Style2"/>
        <w:keepNext w:val="0"/>
        <w:keepLines w:val="0"/>
        <w:widowControl w:val="0"/>
        <w:shd w:val="clear" w:color="auto" w:fill="auto"/>
        <w:bidi w:val="0"/>
        <w:spacing w:before="0" w:after="180" w:line="240" w:lineRule="auto"/>
        <w:ind w:left="0" w:right="0" w:firstLine="0"/>
        <w:jc w:val="both"/>
      </w:pPr>
      <w:r>
        <w:rPr>
          <w:b/>
          <w:bCs/>
          <w:i/>
          <w:iCs/>
          <w:color w:val="000000"/>
          <w:spacing w:val="0"/>
          <w:w w:val="100"/>
          <w:position w:val="0"/>
          <w:shd w:val="clear" w:color="auto" w:fill="auto"/>
          <w:lang w:val="cs-CZ" w:eastAsia="cs-CZ" w:bidi="cs-CZ"/>
        </w:rPr>
        <w:t>Článek „V. Cena a platební podmínky“ se mění na následující znění:</w:t>
      </w:r>
    </w:p>
    <w:p>
      <w:pPr>
        <w:pStyle w:val="Style2"/>
        <w:keepNext w:val="0"/>
        <w:keepLines w:val="0"/>
        <w:widowControl w:val="0"/>
        <w:numPr>
          <w:ilvl w:val="0"/>
          <w:numId w:val="9"/>
        </w:numPr>
        <w:shd w:val="clear" w:color="auto" w:fill="auto"/>
        <w:tabs>
          <w:tab w:pos="427" w:val="left"/>
        </w:tabs>
        <w:bidi w:val="0"/>
        <w:spacing w:before="0" w:after="0" w:line="240" w:lineRule="auto"/>
        <w:ind w:left="0" w:right="0" w:firstLine="0"/>
        <w:jc w:val="both"/>
      </w:pPr>
      <w:bookmarkStart w:id="18" w:name="bookmark18"/>
      <w:bookmarkEnd w:id="18"/>
      <w:r>
        <w:rPr>
          <w:color w:val="000000"/>
          <w:spacing w:val="0"/>
          <w:w w:val="100"/>
          <w:position w:val="0"/>
          <w:shd w:val="clear" w:color="auto" w:fill="auto"/>
          <w:lang w:val="cs-CZ" w:eastAsia="cs-CZ" w:bidi="cs-CZ"/>
        </w:rPr>
        <w:t>Cena nájmu je stanovena na základě zákona č. 526/1990 Sb., o cenách v platném znění.</w:t>
      </w:r>
    </w:p>
    <w:p>
      <w:pPr>
        <w:pStyle w:val="Style2"/>
        <w:keepNext w:val="0"/>
        <w:keepLines w:val="0"/>
        <w:widowControl w:val="0"/>
        <w:numPr>
          <w:ilvl w:val="0"/>
          <w:numId w:val="9"/>
        </w:numPr>
        <w:shd w:val="clear" w:color="auto" w:fill="auto"/>
        <w:tabs>
          <w:tab w:pos="427" w:val="left"/>
        </w:tabs>
        <w:bidi w:val="0"/>
        <w:spacing w:before="0" w:after="0" w:line="240" w:lineRule="auto"/>
        <w:ind w:left="440" w:right="0" w:hanging="440"/>
        <w:jc w:val="both"/>
      </w:pPr>
      <w:bookmarkStart w:id="19" w:name="bookmark19"/>
      <w:bookmarkEnd w:id="19"/>
      <w:r>
        <w:rPr>
          <w:color w:val="000000"/>
          <w:spacing w:val="0"/>
          <w:w w:val="100"/>
          <w:position w:val="0"/>
          <w:shd w:val="clear" w:color="auto" w:fill="auto"/>
          <w:lang w:val="cs-CZ" w:eastAsia="cs-CZ" w:bidi="cs-CZ"/>
        </w:rPr>
        <w:t>Cena nájmu bude v souladu se zákonem č. 235/2004 Sb., o DPH v platném znění zdaňována příslušnou sazbou DPH.</w:t>
      </w:r>
    </w:p>
    <w:p>
      <w:pPr>
        <w:pStyle w:val="Style2"/>
        <w:keepNext w:val="0"/>
        <w:keepLines w:val="0"/>
        <w:widowControl w:val="0"/>
        <w:numPr>
          <w:ilvl w:val="0"/>
          <w:numId w:val="9"/>
        </w:numPr>
        <w:shd w:val="clear" w:color="auto" w:fill="auto"/>
        <w:tabs>
          <w:tab w:pos="427" w:val="left"/>
        </w:tabs>
        <w:bidi w:val="0"/>
        <w:spacing w:before="0" w:after="0" w:line="240" w:lineRule="auto"/>
        <w:ind w:left="440" w:right="0" w:hanging="440"/>
        <w:jc w:val="both"/>
      </w:pPr>
      <w:bookmarkStart w:id="20" w:name="bookmark20"/>
      <w:bookmarkEnd w:id="20"/>
      <w:r>
        <w:rPr>
          <w:color w:val="000000"/>
          <w:spacing w:val="0"/>
          <w:w w:val="100"/>
          <w:position w:val="0"/>
          <w:shd w:val="clear" w:color="auto" w:fill="auto"/>
          <w:lang w:val="cs-CZ" w:eastAsia="cs-CZ" w:bidi="cs-CZ"/>
        </w:rPr>
        <w:t>Cena nájmu je stanovena ve výši 333.209,66 Kč/rok při celkové výměře 12 206 400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K celkové ceně bude připočtena daň z přidané hodnoty dle platné sazby.</w:t>
      </w:r>
    </w:p>
    <w:p>
      <w:pPr>
        <w:pStyle w:val="Style2"/>
        <w:keepNext w:val="0"/>
        <w:keepLines w:val="0"/>
        <w:widowControl w:val="0"/>
        <w:numPr>
          <w:ilvl w:val="0"/>
          <w:numId w:val="9"/>
        </w:numPr>
        <w:shd w:val="clear" w:color="auto" w:fill="auto"/>
        <w:tabs>
          <w:tab w:pos="427" w:val="left"/>
        </w:tabs>
        <w:bidi w:val="0"/>
        <w:spacing w:before="0" w:after="0" w:line="240" w:lineRule="auto"/>
        <w:ind w:left="440" w:right="0" w:hanging="440"/>
        <w:jc w:val="both"/>
      </w:pPr>
      <w:bookmarkStart w:id="21" w:name="bookmark21"/>
      <w:bookmarkEnd w:id="21"/>
      <w:r>
        <w:rPr>
          <w:color w:val="000000"/>
          <w:spacing w:val="0"/>
          <w:w w:val="100"/>
          <w:position w:val="0"/>
          <w:shd w:val="clear" w:color="auto" w:fill="auto"/>
          <w:lang w:val="cs-CZ" w:eastAsia="cs-CZ" w:bidi="cs-CZ"/>
        </w:rPr>
        <w:t>Roční cena nájemného bude od roku 2025 upravována v návaznosti na výši oficiálně (úředně) zjištěné a vyhlášené inflace a bude nájemci sdělena prostřednictvím příslušného daňového dokladu.</w:t>
      </w:r>
    </w:p>
    <w:p>
      <w:pPr>
        <w:pStyle w:val="Style2"/>
        <w:keepNext w:val="0"/>
        <w:keepLines w:val="0"/>
        <w:widowControl w:val="0"/>
        <w:numPr>
          <w:ilvl w:val="0"/>
          <w:numId w:val="9"/>
        </w:numPr>
        <w:shd w:val="clear" w:color="auto" w:fill="auto"/>
        <w:tabs>
          <w:tab w:pos="427" w:val="left"/>
        </w:tabs>
        <w:bidi w:val="0"/>
        <w:spacing w:before="0" w:after="0" w:line="240" w:lineRule="auto"/>
        <w:ind w:left="440" w:right="0" w:hanging="440"/>
        <w:jc w:val="both"/>
      </w:pPr>
      <w:bookmarkStart w:id="22" w:name="bookmark22"/>
      <w:bookmarkEnd w:id="22"/>
      <w:r>
        <w:rPr>
          <w:color w:val="000000"/>
          <w:spacing w:val="0"/>
          <w:w w:val="100"/>
          <w:position w:val="0"/>
          <w:shd w:val="clear" w:color="auto" w:fill="auto"/>
          <w:lang w:val="cs-CZ" w:eastAsia="cs-CZ" w:bidi="cs-CZ"/>
        </w:rPr>
        <w:t>Roční cena nájmu bude hrazena jednou splátkou na základě faktury vystavené do 15 dnů ode dne uskutečnění zdanitelného plnění se splatností 14 dnů od data vystavení.</w:t>
      </w:r>
    </w:p>
    <w:p>
      <w:pPr>
        <w:pStyle w:val="Style2"/>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Úhradu provede nájemce převodem na účet pronajímatele.</w:t>
      </w:r>
    </w:p>
    <w:p>
      <w:pPr>
        <w:pStyle w:val="Style2"/>
        <w:keepNext w:val="0"/>
        <w:keepLines w:val="0"/>
        <w:widowControl w:val="0"/>
        <w:numPr>
          <w:ilvl w:val="0"/>
          <w:numId w:val="9"/>
        </w:numPr>
        <w:shd w:val="clear" w:color="auto" w:fill="auto"/>
        <w:tabs>
          <w:tab w:pos="427" w:val="left"/>
        </w:tabs>
        <w:bidi w:val="0"/>
        <w:spacing w:before="0" w:after="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 xml:space="preserve">Datum uskutečnění zdanitelného plnění je stanoven na </w:t>
      </w:r>
      <w:r>
        <w:rPr>
          <w:b/>
          <w:bCs/>
          <w:color w:val="000000"/>
          <w:spacing w:val="0"/>
          <w:w w:val="100"/>
          <w:position w:val="0"/>
          <w:shd w:val="clear" w:color="auto" w:fill="auto"/>
          <w:lang w:val="cs-CZ" w:eastAsia="cs-CZ" w:bidi="cs-CZ"/>
        </w:rPr>
        <w:t xml:space="preserve">30. duben </w:t>
      </w:r>
      <w:r>
        <w:rPr>
          <w:color w:val="000000"/>
          <w:spacing w:val="0"/>
          <w:w w:val="100"/>
          <w:position w:val="0"/>
          <w:shd w:val="clear" w:color="auto" w:fill="auto"/>
          <w:lang w:val="cs-CZ" w:eastAsia="cs-CZ" w:bidi="cs-CZ"/>
        </w:rPr>
        <w:t>počínaje rokem 2025.</w:t>
      </w:r>
    </w:p>
    <w:p>
      <w:pPr>
        <w:pStyle w:val="Style2"/>
        <w:keepNext w:val="0"/>
        <w:keepLines w:val="0"/>
        <w:widowControl w:val="0"/>
        <w:numPr>
          <w:ilvl w:val="0"/>
          <w:numId w:val="9"/>
        </w:numPr>
        <w:shd w:val="clear" w:color="auto" w:fill="auto"/>
        <w:tabs>
          <w:tab w:pos="427" w:val="left"/>
        </w:tabs>
        <w:bidi w:val="0"/>
        <w:spacing w:before="0" w:after="180" w:line="240" w:lineRule="auto"/>
        <w:ind w:left="440" w:right="0" w:hanging="440"/>
        <w:jc w:val="both"/>
      </w:pPr>
      <w:bookmarkStart w:id="24" w:name="bookmark24"/>
      <w:bookmarkEnd w:id="24"/>
      <w:r>
        <w:rPr>
          <w:color w:val="000000"/>
          <w:spacing w:val="0"/>
          <w:w w:val="100"/>
          <w:position w:val="0"/>
          <w:shd w:val="clear" w:color="auto" w:fill="auto"/>
          <w:lang w:val="cs-CZ" w:eastAsia="cs-CZ" w:bidi="cs-CZ"/>
        </w:rPr>
        <w:t>Neuhradí-li nájemce cenu ročního nájemného ve lhůtě splatnosti, bude mu účtován úrok z prodlení ve výši 0,05 % z částky včas nezaplacené za každý den prodlení.</w:t>
      </w:r>
    </w:p>
    <w:p>
      <w:pPr>
        <w:pStyle w:val="Style10"/>
        <w:keepNext/>
        <w:keepLines/>
        <w:widowControl w:val="0"/>
        <w:numPr>
          <w:ilvl w:val="0"/>
          <w:numId w:val="1"/>
        </w:numPr>
        <w:shd w:val="clear" w:color="auto" w:fill="auto"/>
        <w:tabs>
          <w:tab w:pos="321" w:val="left"/>
        </w:tabs>
        <w:bidi w:val="0"/>
        <w:spacing w:before="0" w:after="0" w:line="240" w:lineRule="auto"/>
        <w:ind w:left="0" w:right="0" w:firstLine="0"/>
        <w:jc w:val="center"/>
      </w:pPr>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COMPLIANCE DOLOŽKA</w:t>
      </w:r>
      <w:bookmarkEnd w:id="25"/>
      <w:bookmarkEnd w:id="26"/>
      <w:bookmarkEnd w:id="28"/>
    </w:p>
    <w:p>
      <w:pPr>
        <w:pStyle w:val="Style2"/>
        <w:keepNext w:val="0"/>
        <w:keepLines w:val="0"/>
        <w:widowControl w:val="0"/>
        <w:numPr>
          <w:ilvl w:val="0"/>
          <w:numId w:val="11"/>
        </w:numPr>
        <w:shd w:val="clear" w:color="auto" w:fill="auto"/>
        <w:tabs>
          <w:tab w:pos="427" w:val="left"/>
        </w:tabs>
        <w:bidi w:val="0"/>
        <w:spacing w:before="0" w:after="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Smluvní strany níže svým podpisem stvrzují, že v průběhu vyjednávání o tomto dodatku vždy jednaly a postupovaly čestně a transparentně, a současně se zavazují, že takto budou jednat i při plnění dodatku a smlouvy a veškerých činností s ní souvisejících.</w:t>
      </w:r>
    </w:p>
    <w:p>
      <w:pPr>
        <w:pStyle w:val="Style2"/>
        <w:keepNext w:val="0"/>
        <w:keepLines w:val="0"/>
        <w:widowControl w:val="0"/>
        <w:numPr>
          <w:ilvl w:val="0"/>
          <w:numId w:val="11"/>
        </w:numPr>
        <w:shd w:val="clear" w:color="auto" w:fill="auto"/>
        <w:tabs>
          <w:tab w:pos="427" w:val="left"/>
        </w:tabs>
        <w:bidi w:val="0"/>
        <w:spacing w:before="0" w:after="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v platném znění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1"/>
        </w:numPr>
        <w:shd w:val="clear" w:color="auto" w:fill="auto"/>
        <w:tabs>
          <w:tab w:pos="427" w:val="left"/>
        </w:tabs>
        <w:bidi w:val="0"/>
        <w:spacing w:before="0" w:after="180" w:line="240" w:lineRule="auto"/>
        <w:ind w:left="440" w:right="0" w:hanging="440"/>
        <w:jc w:val="both"/>
      </w:pPr>
      <w:bookmarkStart w:id="31" w:name="bookmark31"/>
      <w:bookmarkEnd w:id="31"/>
      <w:r>
        <w:rPr>
          <w:color w:val="000000"/>
          <w:spacing w:val="0"/>
          <w:w w:val="100"/>
          <w:position w:val="0"/>
          <w:shd w:val="clear" w:color="auto" w:fill="auto"/>
          <w:lang w:val="cs-CZ" w:eastAsia="cs-CZ" w:bidi="cs-CZ"/>
        </w:rPr>
        <w:t xml:space="preserve">Oprávněný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Oprávněný se při plnění tohoto dodatku zavazuje po celou dobu jeho trvání dodržovat zásady a hodnoty obsažené v uvedených dokumentech, pokud to jejich povaha umožňuje.</w:t>
      </w:r>
      <w:r>
        <w:br w:type="page"/>
      </w:r>
    </w:p>
    <w:p>
      <w:pPr>
        <w:pStyle w:val="Style2"/>
        <w:keepNext w:val="0"/>
        <w:keepLines w:val="0"/>
        <w:widowControl w:val="0"/>
        <w:numPr>
          <w:ilvl w:val="0"/>
          <w:numId w:val="11"/>
        </w:numPr>
        <w:shd w:val="clear" w:color="auto" w:fill="auto"/>
        <w:tabs>
          <w:tab w:pos="402" w:val="left"/>
        </w:tabs>
        <w:bidi w:val="0"/>
        <w:spacing w:before="0" w:after="18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tímto dodatkem, zejména trestného činu korupční povahy, a to bez ohledu a nad rámec případné zákonné oznamovací povinnosti; obdobné platí ve vztahu k jednání, které je v rozporu se zásadami vyjádřenými v tomto článku.</w:t>
      </w:r>
    </w:p>
    <w:p>
      <w:pPr>
        <w:pStyle w:val="Style10"/>
        <w:keepNext/>
        <w:keepLines/>
        <w:widowControl w:val="0"/>
        <w:numPr>
          <w:ilvl w:val="0"/>
          <w:numId w:val="1"/>
        </w:numPr>
        <w:shd w:val="clear" w:color="auto" w:fill="auto"/>
        <w:tabs>
          <w:tab w:pos="402" w:val="left"/>
        </w:tabs>
        <w:bidi w:val="0"/>
        <w:spacing w:before="0" w:after="0" w:line="240" w:lineRule="auto"/>
        <w:ind w:left="0" w:right="0" w:firstLine="0"/>
        <w:jc w:val="center"/>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OCHRANA A ZPRACOVÁNÍ OSOBNÍCH ÚDAJŮ</w:t>
      </w:r>
      <w:bookmarkEnd w:id="33"/>
      <w:bookmarkEnd w:id="34"/>
      <w:bookmarkEnd w:id="36"/>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V případě, že v souvislosti s tímto dodatkem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w:t>
      </w:r>
      <w:r>
        <w:rPr>
          <w:rFonts w:ascii="Times New Roman" w:eastAsia="Times New Roman" w:hAnsi="Times New Roman" w:cs="Times New Roman"/>
          <w:color w:val="000000"/>
          <w:spacing w:val="0"/>
          <w:w w:val="100"/>
          <w:position w:val="0"/>
          <w:shd w:val="clear" w:color="auto" w:fill="auto"/>
          <w:lang w:val="cs-CZ" w:eastAsia="cs-CZ" w:bidi="cs-CZ"/>
        </w:rPr>
        <w:t xml:space="preserve">,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hd w:val="clear" w:color="auto" w:fill="auto"/>
          <w:lang w:val="cs-CZ" w:eastAsia="cs-CZ" w:bidi="cs-CZ"/>
        </w:rPr>
        <w:t>http://www.poh.cz/informace-o- zpracovani-osobnich-udaju/d-1369/p1=1459</w:t>
      </w:r>
      <w:r>
        <w:fldChar w:fldCharType="end"/>
      </w:r>
    </w:p>
    <w:p>
      <w:pPr>
        <w:pStyle w:val="Style10"/>
        <w:keepNext/>
        <w:keepLines/>
        <w:widowControl w:val="0"/>
        <w:numPr>
          <w:ilvl w:val="0"/>
          <w:numId w:val="1"/>
        </w:numPr>
        <w:shd w:val="clear" w:color="auto" w:fill="auto"/>
        <w:tabs>
          <w:tab w:pos="402" w:val="left"/>
        </w:tabs>
        <w:bidi w:val="0"/>
        <w:spacing w:before="0" w:after="0" w:line="240" w:lineRule="auto"/>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ZÁVĚREČNÁ USTANOVENÍ</w:t>
      </w:r>
      <w:bookmarkEnd w:id="37"/>
      <w:bookmarkEnd w:id="38"/>
      <w:bookmarkEnd w:id="40"/>
    </w:p>
    <w:p>
      <w:pPr>
        <w:pStyle w:val="Style2"/>
        <w:keepNext w:val="0"/>
        <w:keepLines w:val="0"/>
        <w:widowControl w:val="0"/>
        <w:numPr>
          <w:ilvl w:val="0"/>
          <w:numId w:val="13"/>
        </w:numPr>
        <w:shd w:val="clear" w:color="auto" w:fill="auto"/>
        <w:tabs>
          <w:tab w:pos="402" w:val="left"/>
        </w:tabs>
        <w:bidi w:val="0"/>
        <w:spacing w:before="0" w:after="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Tento dodatek je vyhotoven 4x, nájemce si ponechá 1 vyhotovení a pronajímatel 3 vyhotovení.</w:t>
      </w:r>
    </w:p>
    <w:p>
      <w:pPr>
        <w:pStyle w:val="Style2"/>
        <w:keepNext w:val="0"/>
        <w:keepLines w:val="0"/>
        <w:widowControl w:val="0"/>
        <w:numPr>
          <w:ilvl w:val="0"/>
          <w:numId w:val="13"/>
        </w:numPr>
        <w:shd w:val="clear" w:color="auto" w:fill="auto"/>
        <w:tabs>
          <w:tab w:pos="402" w:val="left"/>
        </w:tabs>
        <w:bidi w:val="0"/>
        <w:spacing w:before="0" w:after="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Smluvní strany berou na vědomí, že Povodí Ohře, státní podnik, je povinen zveřejnit obraz dodatku a dalších dokumentů týkajících se smlouvy č. 343/2019 včetně metadat požadovaných k uveřejnění dle zákona č. 340/2015 Sb. o registru smluv v platném znění. Zveřejnění dodatku a metadat v registru smluv zajistí Povodí Ohře, státní podnik, který má právo tento dodatek zveřejnit rovněž v pochybnostech o tom, zda tento dodatek zveřejnění podléhá či nikoliv.</w:t>
      </w:r>
    </w:p>
    <w:p>
      <w:pPr>
        <w:pStyle w:val="Style2"/>
        <w:keepNext w:val="0"/>
        <w:keepLines w:val="0"/>
        <w:widowControl w:val="0"/>
        <w:numPr>
          <w:ilvl w:val="0"/>
          <w:numId w:val="13"/>
        </w:numPr>
        <w:shd w:val="clear" w:color="auto" w:fill="auto"/>
        <w:tabs>
          <w:tab w:pos="402" w:val="left"/>
        </w:tabs>
        <w:bidi w:val="0"/>
        <w:spacing w:before="0" w:after="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Dodatek č. 1 k nájemní smlouvě č. 343/2019 uzavřené dne 29. 10. 2019 nabývá platnosti dnem podpisu oběma smluvními stranami a nabývá účinnosti dnem zveřejněním v Registru smluv.</w:t>
      </w:r>
    </w:p>
    <w:p>
      <w:pPr>
        <w:pStyle w:val="Style2"/>
        <w:keepNext w:val="0"/>
        <w:keepLines w:val="0"/>
        <w:widowControl w:val="0"/>
        <w:numPr>
          <w:ilvl w:val="0"/>
          <w:numId w:val="13"/>
        </w:numPr>
        <w:shd w:val="clear" w:color="auto" w:fill="auto"/>
        <w:tabs>
          <w:tab w:pos="402" w:val="left"/>
        </w:tabs>
        <w:bidi w:val="0"/>
        <w:spacing w:before="0" w:after="0" w:line="240" w:lineRule="auto"/>
        <w:ind w:left="440" w:right="0" w:hanging="440"/>
        <w:jc w:val="both"/>
      </w:pPr>
      <w:bookmarkStart w:id="44" w:name="bookmark44"/>
      <w:bookmarkEnd w:id="44"/>
      <w:r>
        <w:rPr>
          <w:color w:val="000000"/>
          <w:spacing w:val="0"/>
          <w:w w:val="100"/>
          <w:position w:val="0"/>
          <w:shd w:val="clear" w:color="auto" w:fill="auto"/>
          <w:lang w:val="cs-CZ" w:eastAsia="cs-CZ" w:bidi="cs-CZ"/>
        </w:rPr>
        <w:t>Dle ustanovení čl. 6, odst. 6, bodu 7 statutu Povodí Ohře, státního podniku, v platném znění není k tomuto dodatku nutný písemný souhlas zakladatele Povodí Ohře, státního podniku, tj. Ministerstva zemědělství ČR.</w:t>
      </w:r>
    </w:p>
    <w:p>
      <w:pPr>
        <w:pStyle w:val="Style2"/>
        <w:keepNext w:val="0"/>
        <w:keepLines w:val="0"/>
        <w:widowControl w:val="0"/>
        <w:numPr>
          <w:ilvl w:val="0"/>
          <w:numId w:val="13"/>
        </w:numPr>
        <w:shd w:val="clear" w:color="auto" w:fill="auto"/>
        <w:tabs>
          <w:tab w:pos="402" w:val="left"/>
        </w:tabs>
        <w:bidi w:val="0"/>
        <w:spacing w:before="0" w:after="0" w:line="240" w:lineRule="auto"/>
        <w:ind w:left="440" w:right="0" w:hanging="440"/>
        <w:jc w:val="both"/>
      </w:pPr>
      <w:bookmarkStart w:id="45" w:name="bookmark45"/>
      <w:bookmarkEnd w:id="45"/>
      <w:r>
        <w:rPr>
          <w:color w:val="000000"/>
          <w:spacing w:val="0"/>
          <w:w w:val="100"/>
          <w:position w:val="0"/>
          <w:shd w:val="clear" w:color="auto" w:fill="auto"/>
          <w:lang w:val="cs-CZ" w:eastAsia="cs-CZ" w:bidi="cs-CZ"/>
        </w:rPr>
        <w:t>Tento dodatek je sepsán dle příslušných ustanovení občanského zákoníku včetně předpisů souvisejících.</w:t>
      </w:r>
    </w:p>
    <w:p>
      <w:pPr>
        <w:pStyle w:val="Style2"/>
        <w:keepNext w:val="0"/>
        <w:keepLines w:val="0"/>
        <w:widowControl w:val="0"/>
        <w:numPr>
          <w:ilvl w:val="0"/>
          <w:numId w:val="13"/>
        </w:numPr>
        <w:shd w:val="clear" w:color="auto" w:fill="auto"/>
        <w:tabs>
          <w:tab w:pos="402" w:val="left"/>
        </w:tabs>
        <w:bidi w:val="0"/>
        <w:spacing w:before="0" w:after="0" w:line="240" w:lineRule="auto"/>
        <w:ind w:left="0" w:right="0" w:firstLine="0"/>
        <w:jc w:val="both"/>
      </w:pPr>
      <w:bookmarkStart w:id="46" w:name="bookmark46"/>
      <w:bookmarkEnd w:id="46"/>
      <w:r>
        <w:rPr>
          <w:color w:val="000000"/>
          <w:spacing w:val="0"/>
          <w:w w:val="100"/>
          <w:position w:val="0"/>
          <w:shd w:val="clear" w:color="auto" w:fill="auto"/>
          <w:lang w:val="cs-CZ" w:eastAsia="cs-CZ" w:bidi="cs-CZ"/>
        </w:rPr>
        <w:t>Smluvní strany nepovažují žádné ustanovení tohoto dodatku za obchodní tajemství.</w:t>
      </w:r>
    </w:p>
    <w:p>
      <w:pPr>
        <w:pStyle w:val="Style2"/>
        <w:keepNext w:val="0"/>
        <w:keepLines w:val="0"/>
        <w:widowControl w:val="0"/>
        <w:numPr>
          <w:ilvl w:val="0"/>
          <w:numId w:val="13"/>
        </w:numPr>
        <w:shd w:val="clear" w:color="auto" w:fill="auto"/>
        <w:tabs>
          <w:tab w:pos="402" w:val="left"/>
        </w:tabs>
        <w:bidi w:val="0"/>
        <w:spacing w:before="0" w:after="0" w:line="240" w:lineRule="auto"/>
        <w:ind w:left="440" w:right="0" w:hanging="440"/>
        <w:jc w:val="both"/>
      </w:pPr>
      <w:bookmarkStart w:id="47" w:name="bookmark47"/>
      <w:bookmarkEnd w:id="47"/>
      <w:r>
        <w:rPr>
          <w:color w:val="000000"/>
          <w:spacing w:val="0"/>
          <w:w w:val="100"/>
          <w:position w:val="0"/>
          <w:shd w:val="clear" w:color="auto" w:fill="auto"/>
          <w:lang w:val="cs-CZ" w:eastAsia="cs-CZ" w:bidi="cs-CZ"/>
        </w:rPr>
        <w:t>Smluvní strany prohlašují, že tento dodatek odpovídá jejich pravé a svobodné vůli, seznámily se s jeho obsahem a na důkaz svého souhlasu ji podepisují.</w:t>
      </w:r>
    </w:p>
    <w:p>
      <w:pPr>
        <w:pStyle w:val="Style2"/>
        <w:keepNext w:val="0"/>
        <w:keepLines w:val="0"/>
        <w:widowControl w:val="0"/>
        <w:numPr>
          <w:ilvl w:val="0"/>
          <w:numId w:val="13"/>
        </w:numPr>
        <w:shd w:val="clear" w:color="auto" w:fill="auto"/>
        <w:tabs>
          <w:tab w:pos="402" w:val="left"/>
        </w:tabs>
        <w:bidi w:val="0"/>
        <w:spacing w:before="0" w:after="0" w:line="240" w:lineRule="auto"/>
        <w:ind w:left="0" w:right="0" w:firstLine="0"/>
        <w:jc w:val="both"/>
      </w:pPr>
      <w:bookmarkStart w:id="48" w:name="bookmark48"/>
      <w:bookmarkEnd w:id="48"/>
      <w:r>
        <w:rPr>
          <w:color w:val="000000"/>
          <w:spacing w:val="0"/>
          <w:w w:val="100"/>
          <w:position w:val="0"/>
          <w:shd w:val="clear" w:color="auto" w:fill="auto"/>
          <w:lang w:val="cs-CZ" w:eastAsia="cs-CZ" w:bidi="cs-CZ"/>
        </w:rPr>
        <w:t>Ostatní ustanovení Nájemní smlouvy č. 343/2019 zůstávají nezměněna.</w:t>
      </w:r>
    </w:p>
    <w:p>
      <w:pPr>
        <w:widowControl w:val="0"/>
        <w:spacing w:line="1" w:lineRule="exact"/>
      </w:pPr>
      <w:r>
        <mc:AlternateContent>
          <mc:Choice Requires="wps">
            <w:drawing>
              <wp:anchor distT="12700" distB="0" distL="0" distR="0" simplePos="0" relativeHeight="125829378" behindDoc="0" locked="0" layoutInCell="1" allowOverlap="1">
                <wp:simplePos x="0" y="0"/>
                <wp:positionH relativeFrom="page">
                  <wp:posOffset>897890</wp:posOffset>
                </wp:positionH>
                <wp:positionV relativeFrom="paragraph">
                  <wp:posOffset>12700</wp:posOffset>
                </wp:positionV>
                <wp:extent cx="2216150" cy="789305"/>
                <wp:wrapTopAndBottom/>
                <wp:docPr id="1" name="Shape 1"/>
                <a:graphic xmlns:a="http://schemas.openxmlformats.org/drawingml/2006/main">
                  <a:graphicData uri="http://schemas.microsoft.com/office/word/2010/wordprocessingShape">
                    <wps:wsp>
                      <wps:cNvSpPr txBox="1"/>
                      <wps:spPr>
                        <a:xfrm>
                          <a:ext cx="2216150" cy="789305"/>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i/>
                                <w:iCs/>
                                <w:color w:val="000000"/>
                                <w:spacing w:val="0"/>
                                <w:w w:val="100"/>
                                <w:position w:val="0"/>
                                <w:shd w:val="clear" w:color="auto" w:fill="auto"/>
                                <w:lang w:val="cs-CZ" w:eastAsia="cs-CZ" w:bidi="cs-CZ"/>
                              </w:rPr>
                              <w:t>Příloha č. 1: situační plán</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nájemce:</w:t>
                            </w:r>
                          </w:p>
                          <w:p>
                            <w:pPr>
                              <w:pStyle w:val="Style2"/>
                              <w:keepNext w:val="0"/>
                              <w:keepLines w:val="0"/>
                              <w:widowControl w:val="0"/>
                              <w:shd w:val="clear" w:color="auto" w:fill="auto"/>
                              <w:tabs>
                                <w:tab w:pos="3374" w:val="left"/>
                              </w:tabs>
                              <w:bidi w:val="0"/>
                              <w:spacing w:before="0" w:after="180" w:line="240" w:lineRule="auto"/>
                              <w:ind w:left="0" w:right="0" w:firstLine="0"/>
                              <w:jc w:val="left"/>
                            </w:pPr>
                            <w:r>
                              <w:rPr>
                                <w:color w:val="000000"/>
                                <w:spacing w:val="0"/>
                                <w:w w:val="100"/>
                                <w:position w:val="0"/>
                                <w:shd w:val="clear" w:color="auto" w:fill="auto"/>
                                <w:lang w:val="cs-CZ" w:eastAsia="cs-CZ" w:bidi="cs-CZ"/>
                              </w:rPr>
                              <w:t xml:space="preserve">V Ústí nad Labem, dne: </w:t>
                            </w:r>
                            <w:r>
                              <w:rPr>
                                <w:u w:val="single"/>
                              </w:rPr>
                              <w:t xml:space="preserve"> </w:t>
                              <w:tab/>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700000000000003pt;margin-top:1.pt;width:174.5pt;height:62.149999999999999pt;z-index:-125829375;mso-wrap-distance-left:0;mso-wrap-distance-top:1.pt;mso-wrap-distance-right:0;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i/>
                          <w:iCs/>
                          <w:color w:val="000000"/>
                          <w:spacing w:val="0"/>
                          <w:w w:val="100"/>
                          <w:position w:val="0"/>
                          <w:shd w:val="clear" w:color="auto" w:fill="auto"/>
                          <w:lang w:val="cs-CZ" w:eastAsia="cs-CZ" w:bidi="cs-CZ"/>
                        </w:rPr>
                        <w:t>Příloha č. 1: situační plán</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nájemce:</w:t>
                      </w:r>
                    </w:p>
                    <w:p>
                      <w:pPr>
                        <w:pStyle w:val="Style2"/>
                        <w:keepNext w:val="0"/>
                        <w:keepLines w:val="0"/>
                        <w:widowControl w:val="0"/>
                        <w:shd w:val="clear" w:color="auto" w:fill="auto"/>
                        <w:tabs>
                          <w:tab w:pos="3374" w:val="left"/>
                        </w:tabs>
                        <w:bidi w:val="0"/>
                        <w:spacing w:before="0" w:after="180" w:line="240" w:lineRule="auto"/>
                        <w:ind w:left="0" w:right="0" w:firstLine="0"/>
                        <w:jc w:val="left"/>
                      </w:pPr>
                      <w:r>
                        <w:rPr>
                          <w:color w:val="000000"/>
                          <w:spacing w:val="0"/>
                          <w:w w:val="100"/>
                          <w:position w:val="0"/>
                          <w:shd w:val="clear" w:color="auto" w:fill="auto"/>
                          <w:lang w:val="cs-CZ" w:eastAsia="cs-CZ" w:bidi="cs-CZ"/>
                        </w:rPr>
                        <w:t xml:space="preserve">V Ústí nad Labem, dne: </w:t>
                      </w:r>
                      <w:r>
                        <w:rPr>
                          <w:u w:val="single"/>
                        </w:rPr>
                        <w:t xml:space="preserve"> </w:t>
                        <w:tab/>
                      </w:r>
                    </w:p>
                  </w:txbxContent>
                </v:textbox>
                <w10:wrap type="topAndBottom" anchorx="page"/>
              </v:shape>
            </w:pict>
          </mc:Fallback>
        </mc:AlternateContent>
      </w:r>
      <w:r>
        <mc:AlternateContent>
          <mc:Choice Requires="wps">
            <w:drawing>
              <wp:anchor distT="299085" distB="0" distL="0" distR="0" simplePos="0" relativeHeight="125829380" behindDoc="0" locked="0" layoutInCell="1" allowOverlap="1">
                <wp:simplePos x="0" y="0"/>
                <wp:positionH relativeFrom="page">
                  <wp:posOffset>4098290</wp:posOffset>
                </wp:positionH>
                <wp:positionV relativeFrom="paragraph">
                  <wp:posOffset>299085</wp:posOffset>
                </wp:positionV>
                <wp:extent cx="2142490" cy="502920"/>
                <wp:wrapTopAndBottom/>
                <wp:docPr id="3" name="Shape 3"/>
                <a:graphic xmlns:a="http://schemas.openxmlformats.org/drawingml/2006/main">
                  <a:graphicData uri="http://schemas.microsoft.com/office/word/2010/wordprocessingShape">
                    <wps:wsp>
                      <wps:cNvSpPr txBox="1"/>
                      <wps:spPr>
                        <a:xfrm>
                          <a:ext cx="2142490" cy="502920"/>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tabs>
                                <w:tab w:pos="3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w:t>
                            </w:r>
                            <w:r>
                              <w:rPr>
                                <w:u w:val="single"/>
                              </w:rPr>
                              <w:t xml:space="preserve"> </w:t>
                              <w:tab/>
                            </w:r>
                          </w:p>
                        </w:txbxContent>
                      </wps:txbx>
                      <wps:bodyPr lIns="0" tIns="0" rIns="0" bIns="0">
                        <a:noAutoFit/>
                      </wps:bodyPr>
                    </wps:wsp>
                  </a:graphicData>
                </a:graphic>
              </wp:anchor>
            </w:drawing>
          </mc:Choice>
          <mc:Fallback>
            <w:pict>
              <v:shape id="_x0000_s1029" type="#_x0000_t202" style="position:absolute;margin-left:322.69999999999999pt;margin-top:23.550000000000001pt;width:168.70000000000002pt;height:39.600000000000001pt;z-index:-125829373;mso-wrap-distance-left:0;mso-wrap-distance-top:23.550000000000001pt;mso-wrap-distance-right:0;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tabs>
                          <w:tab w:pos="3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w:t>
                      </w:r>
                      <w:r>
                        <w:rPr>
                          <w:u w:val="single"/>
                        </w:rPr>
                        <w:t xml:space="preserve"> </w:t>
                        <w:tab/>
                      </w:r>
                    </w:p>
                  </w:txbxContent>
                </v:textbox>
                <w10:wrap type="topAndBottom" anchorx="page"/>
              </v:shape>
            </w:pict>
          </mc:Fallback>
        </mc:AlternateContent>
      </w:r>
    </w:p>
    <w:p>
      <w:pPr>
        <w:widowControl w:val="0"/>
        <w:spacing w:line="1" w:lineRule="exact"/>
        <w:sectPr>
          <w:footerReference w:type="default" r:id="rId5"/>
          <w:footnotePr>
            <w:pos w:val="pageBottom"/>
            <w:numFmt w:val="decimal"/>
            <w:numRestart w:val="continuous"/>
          </w:footnotePr>
          <w:pgSz w:w="11909" w:h="16834"/>
          <w:pgMar w:top="1323" w:left="1412" w:right="1410" w:bottom="1872" w:header="895" w:footer="3" w:gutter="0"/>
          <w:pgNumType w:start="1"/>
          <w:cols w:space="720"/>
          <w:noEndnote/>
          <w:rtlGutter w:val="0"/>
          <w:docGrid w:linePitch="360"/>
        </w:sectPr>
      </w:pPr>
      <w:r>
        <mc:AlternateContent>
          <mc:Choice Requires="wps">
            <w:drawing>
              <wp:anchor distT="660400" distB="0" distL="0" distR="0" simplePos="0" relativeHeight="125829382" behindDoc="0" locked="0" layoutInCell="1" allowOverlap="1">
                <wp:simplePos x="0" y="0"/>
                <wp:positionH relativeFrom="page">
                  <wp:posOffset>897890</wp:posOffset>
                </wp:positionH>
                <wp:positionV relativeFrom="paragraph">
                  <wp:posOffset>660400</wp:posOffset>
                </wp:positionV>
                <wp:extent cx="2011680" cy="207010"/>
                <wp:wrapTopAndBottom/>
                <wp:docPr id="7" name="Shape 7"/>
                <a:graphic xmlns:a="http://schemas.openxmlformats.org/drawingml/2006/main">
                  <a:graphicData uri="http://schemas.microsoft.com/office/word/2010/wordprocessingShape">
                    <wps:wsp>
                      <wps:cNvSpPr txBox="1"/>
                      <wps:spPr>
                        <a:xfrm>
                          <a:ext cx="201168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xbxContent>
                      </wps:txbx>
                      <wps:bodyPr wrap="none" lIns="0" tIns="0" rIns="0" bIns="0">
                        <a:noAutoFit/>
                      </wps:bodyPr>
                    </wps:wsp>
                  </a:graphicData>
                </a:graphic>
              </wp:anchor>
            </w:drawing>
          </mc:Choice>
          <mc:Fallback>
            <w:pict>
              <v:shape id="_x0000_s1033" type="#_x0000_t202" style="position:absolute;margin-left:70.700000000000003pt;margin-top:52.pt;width:158.40000000000001pt;height:16.300000000000001pt;z-index:-125829371;mso-wrap-distance-left:0;mso-wrap-distance-top:5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xbxContent>
                </v:textbox>
                <w10:wrap type="topAndBottom" anchorx="page"/>
              </v:shape>
            </w:pict>
          </mc:Fallback>
        </mc:AlternateContent>
      </w:r>
      <w:r>
        <mc:AlternateContent>
          <mc:Choice Requires="wps">
            <w:drawing>
              <wp:anchor distT="660400" distB="0" distL="0" distR="0" simplePos="0" relativeHeight="125829384" behindDoc="0" locked="0" layoutInCell="1" allowOverlap="1">
                <wp:simplePos x="0" y="0"/>
                <wp:positionH relativeFrom="page">
                  <wp:posOffset>4098290</wp:posOffset>
                </wp:positionH>
                <wp:positionV relativeFrom="paragraph">
                  <wp:posOffset>660400</wp:posOffset>
                </wp:positionV>
                <wp:extent cx="2139950" cy="207010"/>
                <wp:wrapTopAndBottom/>
                <wp:docPr id="9" name="Shape 9"/>
                <a:graphic xmlns:a="http://schemas.openxmlformats.org/drawingml/2006/main">
                  <a:graphicData uri="http://schemas.microsoft.com/office/word/2010/wordprocessingShape">
                    <wps:wsp>
                      <wps:cNvSpPr txBox="1"/>
                      <wps:spPr>
                        <a:xfrm>
                          <a:ext cx="2139950"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xbxContent>
                      </wps:txbx>
                      <wps:bodyPr wrap="none" lIns="0" tIns="0" rIns="0" bIns="0">
                        <a:noAutoFit/>
                      </wps:bodyPr>
                    </wps:wsp>
                  </a:graphicData>
                </a:graphic>
              </wp:anchor>
            </w:drawing>
          </mc:Choice>
          <mc:Fallback>
            <w:pict>
              <v:shape id="_x0000_s1035" type="#_x0000_t202" style="position:absolute;margin-left:322.69999999999999pt;margin-top:52.pt;width:168.5pt;height:16.300000000000001pt;z-index:-125829369;mso-wrap-distance-left:0;mso-wrap-distance-top:5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9" w:h="16834"/>
          <w:pgMar w:top="1385" w:left="0" w:right="0" w:bottom="1803"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sectPr>
      <w:footnotePr>
        <w:pos w:val="pageBottom"/>
        <w:numFmt w:val="decimal"/>
        <w:numRestart w:val="continuous"/>
      </w:footnotePr>
      <w:type w:val="continuous"/>
      <w:pgSz w:w="11909" w:h="16834"/>
      <w:pgMar w:top="1385" w:left="1413" w:right="1413" w:bottom="180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6585585</wp:posOffset>
              </wp:positionH>
              <wp:positionV relativeFrom="page">
                <wp:posOffset>9565005</wp:posOffset>
              </wp:positionV>
              <wp:extent cx="64135" cy="170815"/>
              <wp:wrapNone/>
              <wp:docPr id="5" name="Shape 5"/>
              <a:graphic xmlns:a="http://schemas.openxmlformats.org/drawingml/2006/main">
                <a:graphicData uri="http://schemas.microsoft.com/office/word/2010/wordprocessingShape">
                  <wps:wsp>
                    <wps:cNvSpPr txBox="1"/>
                    <wps:spPr>
                      <a:xfrm>
                        <a:ext cx="64135" cy="1708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18.54999999999995pt;margin-top:753.14999999999998pt;width:5.04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outlineLvl w:val="0"/>
    </w:pPr>
    <w:rPr>
      <w:rFonts w:ascii="Arial" w:eastAsia="Arial" w:hAnsi="Arial" w:cs="Arial"/>
      <w:b/>
      <w:bCs/>
      <w:i w:val="0"/>
      <w:iCs w:val="0"/>
      <w:smallCaps w:val="0"/>
      <w:strike w:val="0"/>
      <w:sz w:val="20"/>
      <w:szCs w:val="20"/>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5">
    <w:name w:val="Style 15"/>
    <w:basedOn w:val="Normal"/>
    <w:link w:val="CharStyle16"/>
    <w:pPr>
      <w:widowControl w:val="0"/>
      <w:shd w:val="clear" w:color="auto" w:fill="FFFFFF"/>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 O D A T E K     č</dc:title>
  <dc:subject/>
  <dc:creator>Povodí Ohře a.s.</dc:creator>
  <cp:keywords/>
</cp:coreProperties>
</file>