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rFonts w:ascii="Arial Narrow" w:eastAsia="Arial Narrow" w:hAnsi="Arial Narrow" w:cs="Arial Narrow"/>
          <w:color w:val="404999"/>
          <w:sz w:val="18"/>
          <w:szCs w:val="18"/>
        </w:rPr>
      </w:pPr>
      <w:r>
        <w:rPr>
          <w:rFonts w:ascii="Arial Narrow" w:eastAsia="Arial Narrow" w:hAnsi="Arial Narrow" w:cs="Arial Narrow"/>
          <w:color w:val="404999"/>
          <w:sz w:val="18"/>
          <w:szCs w:val="18"/>
        </w:rPr>
        <w:t xml:space="preserve">Zakázka </w:t>
      </w:r>
      <w:r>
        <w:rPr>
          <w:rFonts w:ascii="Arial Narrow" w:eastAsia="Arial Narrow" w:hAnsi="Arial Narrow" w:cs="Arial Narrow"/>
          <w:color w:val="E31E24"/>
          <w:sz w:val="18"/>
          <w:szCs w:val="18"/>
        </w:rPr>
        <w:t xml:space="preserve">» </w:t>
      </w:r>
      <w:r>
        <w:rPr>
          <w:rFonts w:ascii="Arial Narrow" w:eastAsia="Arial Narrow" w:hAnsi="Arial Narrow" w:cs="Arial Narrow"/>
          <w:color w:val="404999"/>
          <w:sz w:val="18"/>
          <w:szCs w:val="18"/>
        </w:rPr>
        <w:t xml:space="preserve">SMK/157188/2024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5" w:line="240" w:lineRule="auto"/>
        <w:ind w:left="4169"/>
        <w:rPr>
          <w:rFonts w:ascii="Arial Narrow" w:eastAsia="Arial Narrow" w:hAnsi="Arial Narrow" w:cs="Arial Narrow"/>
          <w:b/>
          <w:color w:val="000000"/>
          <w:sz w:val="31"/>
          <w:szCs w:val="31"/>
        </w:rPr>
      </w:pPr>
      <w:r>
        <w:rPr>
          <w:rFonts w:ascii="Arial Narrow" w:eastAsia="Arial Narrow" w:hAnsi="Arial Narrow" w:cs="Arial Narrow"/>
          <w:b/>
          <w:color w:val="000000"/>
          <w:sz w:val="31"/>
          <w:szCs w:val="31"/>
        </w:rPr>
        <w:t xml:space="preserve">KUPNÍ SMLOUVA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05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Nákup ICT zařízení 18/2024 (NB pro ZŠ a MŠ Družby)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28" w:lineRule="auto"/>
        <w:ind w:left="1724" w:right="1995" w:firstLine="7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uzavřená na základě dohody smluvních stran podle ustanovení § 2079 a následujících  zákona č. 89/2012 Sb., občanský zákoník, ve znění pozdějších předpisů, (dále jen „OZ“)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460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Smluvní strany </w:t>
      </w:r>
    </w:p>
    <w:tbl>
      <w:tblPr>
        <w:tblStyle w:val="a"/>
        <w:tblW w:w="9061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0"/>
        <w:gridCol w:w="6231"/>
      </w:tblGrid>
      <w:tr w:rsidR="00DC2A31">
        <w:trPr>
          <w:trHeight w:val="352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  <w:shd w:val="clear" w:color="auto" w:fill="D9D9D9"/>
              </w:rPr>
              <w:t>KUPUJÍCÍ</w:t>
            </w:r>
          </w:p>
        </w:tc>
      </w:tr>
      <w:tr w:rsidR="00DC2A31">
        <w:trPr>
          <w:trHeight w:val="376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Název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Základní škola a Mateřská škola Družby, příspěvková organizace</w:t>
            </w:r>
          </w:p>
        </w:tc>
      </w:tr>
      <w:tr w:rsidR="00DC2A31">
        <w:trPr>
          <w:trHeight w:val="435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Sídlo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tř. Družby 1383, 735 06 Karviná-Nové Město</w:t>
            </w:r>
          </w:p>
        </w:tc>
      </w:tr>
      <w:tr w:rsidR="00DC2A31">
        <w:trPr>
          <w:trHeight w:val="355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IČO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48004472</w:t>
            </w:r>
          </w:p>
        </w:tc>
      </w:tr>
      <w:tr w:rsidR="00DC2A31">
        <w:trPr>
          <w:trHeight w:val="353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Kontaktní e-mailová adresa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zs-druzby@volny.cz</w:t>
            </w:r>
          </w:p>
        </w:tc>
      </w:tr>
      <w:tr w:rsidR="00DC2A31">
        <w:trPr>
          <w:trHeight w:val="1015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Zastoupen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  <w:shd w:val="clear" w:color="auto" w:fill="D9D9D9"/>
              </w:rPr>
              <w:t>odepsáno elektronicky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 xml:space="preserve">Mgr. Andrzej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Szyja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 xml:space="preserve">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 xml:space="preserve">ředitel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40" w:lineRule="auto"/>
              <w:ind w:right="1201"/>
              <w:jc w:val="right"/>
              <w:rPr>
                <w:rFonts w:ascii="Arial Narrow" w:eastAsia="Arial Narrow" w:hAnsi="Arial Narrow" w:cs="Arial Narrow"/>
                <w:color w:val="000000"/>
                <w:sz w:val="12"/>
                <w:szCs w:val="12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  <w:highlight w:val="white"/>
              </w:rPr>
              <w:t>podpis</w:t>
            </w:r>
          </w:p>
        </w:tc>
      </w:tr>
    </w:tbl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061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0"/>
        <w:gridCol w:w="6231"/>
      </w:tblGrid>
      <w:tr w:rsidR="00DC2A31">
        <w:trPr>
          <w:trHeight w:val="355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  <w:shd w:val="clear" w:color="auto" w:fill="D9D9D9"/>
              </w:rPr>
              <w:t>PRODÁVAJÍCÍ</w:t>
            </w:r>
          </w:p>
        </w:tc>
      </w:tr>
      <w:tr w:rsidR="00DC2A31">
        <w:trPr>
          <w:trHeight w:val="352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Název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 xml:space="preserve">COMFOR STORES a.s. </w:t>
            </w:r>
          </w:p>
        </w:tc>
      </w:tr>
      <w:tr w:rsidR="00DC2A31">
        <w:trPr>
          <w:trHeight w:val="352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Sídlo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Běly Pažoutové 742/1, 624 00 Brno</w:t>
            </w:r>
          </w:p>
        </w:tc>
      </w:tr>
      <w:tr w:rsidR="00DC2A31">
        <w:trPr>
          <w:trHeight w:val="352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IČO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 xml:space="preserve">26290944 </w:t>
            </w:r>
          </w:p>
        </w:tc>
      </w:tr>
      <w:tr w:rsidR="00DC2A31">
        <w:trPr>
          <w:trHeight w:val="355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Zastoupen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8D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xxxxxxxxxxxxxxx</w:t>
            </w:r>
            <w:proofErr w:type="spellEnd"/>
            <w:r w:rsidR="00EC4902"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 xml:space="preserve"> na základě plné moci</w:t>
            </w:r>
          </w:p>
        </w:tc>
      </w:tr>
      <w:tr w:rsidR="00DC2A31">
        <w:trPr>
          <w:trHeight w:val="353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Kontaktní e-mailová adresa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8D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xxxxxxxxxxxxxxxxxxxxx</w:t>
            </w:r>
            <w:proofErr w:type="spellEnd"/>
          </w:p>
        </w:tc>
      </w:tr>
      <w:tr w:rsidR="00DC2A31">
        <w:trPr>
          <w:trHeight w:val="1015"/>
        </w:trPr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shd w:val="clear" w:color="auto" w:fill="D9D9D9"/>
              </w:rPr>
              <w:t xml:space="preserve">Podpis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  <w:shd w:val="clear" w:color="auto" w:fill="D9D9D9"/>
              </w:rPr>
              <w:t xml:space="preserve">odepsáno elektronicky </w:t>
            </w:r>
          </w:p>
        </w:tc>
        <w:tc>
          <w:tcPr>
            <w:tcW w:w="6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8D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xxxxxxxxxxxxxxxxxxxxxxx</w:t>
            </w:r>
            <w:proofErr w:type="spellEnd"/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 w:line="240" w:lineRule="auto"/>
              <w:ind w:right="1201"/>
              <w:jc w:val="right"/>
              <w:rPr>
                <w:rFonts w:ascii="Arial Narrow" w:eastAsia="Arial Narrow" w:hAnsi="Arial Narrow" w:cs="Arial Narrow"/>
                <w:color w:val="000000"/>
                <w:sz w:val="12"/>
                <w:szCs w:val="12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  <w:highlight w:val="white"/>
              </w:rPr>
              <w:t>podpis</w:t>
            </w:r>
          </w:p>
        </w:tc>
      </w:tr>
    </w:tbl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0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uzavřeli tuto kupní smlouvu (dále jen „</w:t>
      </w:r>
      <w:r>
        <w:rPr>
          <w:rFonts w:ascii="Arial Narrow" w:eastAsia="Arial Narrow" w:hAnsi="Arial Narrow" w:cs="Arial Narrow"/>
          <w:b/>
          <w:color w:val="000000"/>
        </w:rPr>
        <w:t>smlouva</w:t>
      </w:r>
      <w:r>
        <w:rPr>
          <w:rFonts w:ascii="Arial Narrow" w:eastAsia="Arial Narrow" w:hAnsi="Arial Narrow" w:cs="Arial Narrow"/>
          <w:color w:val="000000"/>
        </w:rPr>
        <w:t xml:space="preserve">“)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6" w:line="240" w:lineRule="auto"/>
        <w:ind w:left="4905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I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1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Předmět smlouvy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1000" w:right="983" w:hanging="27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1. Předmětem této smlouvy je závazek prodávajícího dodat kupujícímu předmět koupě ve specifikaci, která je uvedena v příloze č. 1 v množství a za cenu, která je uvedena v příloze č. 2 </w:t>
      </w:r>
      <w:proofErr w:type="gramStart"/>
      <w:r>
        <w:rPr>
          <w:rFonts w:ascii="Arial Narrow" w:eastAsia="Arial Narrow" w:hAnsi="Arial Narrow" w:cs="Arial Narrow"/>
          <w:color w:val="000000"/>
        </w:rPr>
        <w:t>této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smlouvy. Součástí předmětu koupě je i doprava do místa plnění dle p</w:t>
      </w:r>
      <w:r>
        <w:rPr>
          <w:rFonts w:ascii="Arial Narrow" w:eastAsia="Arial Narrow" w:hAnsi="Arial Narrow" w:cs="Arial Narrow"/>
          <w:color w:val="000000"/>
        </w:rPr>
        <w:t xml:space="preserve">řílohy č. 3 a instalace zařízení v rozsahu dle přílohy č. 1.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28" w:lineRule="auto"/>
        <w:ind w:left="1000" w:right="991" w:hanging="29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2. Kupující se touto smlouvou zavazuje řádně dodaný předmět koupě od prodávajícího odebrat a zaplatit za něj kupní cenu dle příslušných ustanovení této smlouvy.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ind w:left="4878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lastRenderedPageBreak/>
        <w:t xml:space="preserve">Článek II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12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Termín a místo plnění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336" w:lineRule="auto"/>
        <w:ind w:left="710" w:right="1948" w:firstLine="1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1. Místem plnění jsou budovy kupujícího, uvedené pro každý jednotlivý předmět koupě v příloze č. 3. 2. Předmět koupě bude dodán do </w:t>
      </w:r>
      <w:r>
        <w:rPr>
          <w:rFonts w:ascii="Arial Narrow" w:eastAsia="Arial Narrow" w:hAnsi="Arial Narrow" w:cs="Arial Narrow"/>
          <w:b/>
          <w:color w:val="000000"/>
        </w:rPr>
        <w:t xml:space="preserve">30 </w:t>
      </w:r>
      <w:r>
        <w:rPr>
          <w:rFonts w:ascii="Arial Narrow" w:eastAsia="Arial Narrow" w:hAnsi="Arial Narrow" w:cs="Arial Narrow"/>
          <w:color w:val="000000"/>
        </w:rPr>
        <w:t>dnů od účinnosti této smlouvy.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4" w:line="240" w:lineRule="auto"/>
        <w:ind w:left="10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>◼</w:t>
      </w: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KUPNÍ SMLOUVA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Nákup ICT zařízení 18/2024 (NB pro ZŠ a MŠ Družby)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Zakázka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»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SMK/157188/2024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strana 1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celkem 8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54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III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1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Dodací podmínky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8" w:lineRule="auto"/>
        <w:ind w:left="994" w:right="933" w:hanging="26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1. Prodávající se zavazuje dodat kupujícímu předmět koupě včetně instalace a konfigurace v rozsahu, množství  a specifikaci uvedené v přílohách č. 1 a 2 řádně a včas bez vad a nedodělků.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8" w:lineRule="auto"/>
        <w:ind w:left="990" w:right="934" w:hanging="28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2. Prodávající prohlašuje, že předmět koupě ve všech parametrech splňuje minimální technické a funkční parametry uvedené v příloze č. 1. Smluvní strany se dohodly, že má-li zboží v době jeho předání kupujícímu  vady či nedodělky nebo neodpovídá minimálním </w:t>
      </w:r>
      <w:r>
        <w:rPr>
          <w:rFonts w:ascii="Arial Narrow" w:eastAsia="Arial Narrow" w:hAnsi="Arial Narrow" w:cs="Arial Narrow"/>
          <w:color w:val="000000"/>
        </w:rPr>
        <w:t xml:space="preserve">technickým a funkčním parametrům, je kupující oprávněn  odmítnout převzetí zboží.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8" w:lineRule="auto"/>
        <w:ind w:left="1000" w:right="939" w:hanging="28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3. Kupující se zavazuje umožnit přístup určeným zaměstnancům prodávajícího do areálu místa plnění za účelem  plnění závazků vyplývajících z této smlouvy.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995" w:right="933" w:hanging="288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4. Dodávka se pova</w:t>
      </w:r>
      <w:r>
        <w:rPr>
          <w:rFonts w:ascii="Arial Narrow" w:eastAsia="Arial Narrow" w:hAnsi="Arial Narrow" w:cs="Arial Narrow"/>
          <w:color w:val="000000"/>
        </w:rPr>
        <w:t>žuje za splněnou, pokud předmět koupě bude řádně a včas předán kupujícímu v rozsahu dle  článku III a v místě plnění a termínu dle článku II včetně příslušných dokladů, které se k dodávanému předmětu  koupě vztahují. Převzetí bude potvrzeno podpisem dodací</w:t>
      </w:r>
      <w:r>
        <w:rPr>
          <w:rFonts w:ascii="Arial Narrow" w:eastAsia="Arial Narrow" w:hAnsi="Arial Narrow" w:cs="Arial Narrow"/>
          <w:color w:val="000000"/>
        </w:rPr>
        <w:t xml:space="preserve">ho listu oprávněnou osobou kupujícího dle přílohy  č. 3 </w:t>
      </w:r>
      <w:proofErr w:type="gramStart"/>
      <w:r>
        <w:rPr>
          <w:rFonts w:ascii="Arial Narrow" w:eastAsia="Arial Narrow" w:hAnsi="Arial Narrow" w:cs="Arial Narrow"/>
          <w:color w:val="000000"/>
        </w:rPr>
        <w:t>této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smlouvy.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71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5. Předmět koupě musí být označen řádně a v souladu s příslušnými právními předpisy.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8" w:lineRule="auto"/>
        <w:ind w:left="990" w:right="934" w:hanging="27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6. Prodávající odpovídá za to, že dodané zboží je způsobilé k užití v souladu s jeho určením a že zboží odpovídá  všem požadavkům obecně závazných právních předpisů.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28" w:lineRule="auto"/>
        <w:ind w:left="990" w:right="937" w:hanging="277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7. Prodávající se zavazuje dodat a provést instalaci a konfiguraci uvedeného zboží v míst</w:t>
      </w:r>
      <w:r>
        <w:rPr>
          <w:rFonts w:ascii="Arial Narrow" w:eastAsia="Arial Narrow" w:hAnsi="Arial Narrow" w:cs="Arial Narrow"/>
          <w:color w:val="000000"/>
        </w:rPr>
        <w:t xml:space="preserve">ech plnění a převést na  kupujícího vlastnické právo k tomuto zboží. Kupující se zavazuje zaplatit prodávajícímu za uvedené zboží bez  vad a nedodělků a montáž bez vad a nedodělků kupní cenu a to na základě předávacího protokolu a soupisu  dodávek.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1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8. Pokud prodávající k plnění smlouvy využívá poddodavatele, je prodávající povinen: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30" w:lineRule="auto"/>
        <w:ind w:left="1275" w:right="942" w:hanging="28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a) sjednat se svými poddodavateli smluvní pokuty i jejich výši a rovněž délku záruční doby tak, aby tyto byly  totožné jako v této smlouvě;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28" w:lineRule="auto"/>
        <w:ind w:left="1274" w:right="934" w:hanging="27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b) řádně a včas plnit finančn</w:t>
      </w:r>
      <w:r>
        <w:rPr>
          <w:rFonts w:ascii="Arial Narrow" w:eastAsia="Arial Narrow" w:hAnsi="Arial Narrow" w:cs="Arial Narrow"/>
          <w:color w:val="000000"/>
        </w:rPr>
        <w:t>í závazky svým poddodavatelům, přičemž za řádné a včasné plnění finančních  závazků se považuje plné uhrazení faktur vystavených poddodavatelem prodávajícímu za práce na  dodávce zboží, a to v termínu splatnosti určeném poddodavatelem. Prodávající je povin</w:t>
      </w:r>
      <w:r>
        <w:rPr>
          <w:rFonts w:ascii="Arial Narrow" w:eastAsia="Arial Narrow" w:hAnsi="Arial Narrow" w:cs="Arial Narrow"/>
          <w:color w:val="000000"/>
        </w:rPr>
        <w:t xml:space="preserve">en na výzvu  kupujícího prokazatelně doložit kupujícímu (např. výpisem z účtu) splnění povinnosti uvedené v předchozí  větě, a to do 10 pracovních dnů od doručení výzvy.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4845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IV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7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Kupní cena a platební podmínky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2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1. Položková a celková kupní cena předmětu koupě je uvedena v příloze č. 2 </w:t>
      </w:r>
      <w:proofErr w:type="gramStart"/>
      <w:r>
        <w:rPr>
          <w:rFonts w:ascii="Arial Narrow" w:eastAsia="Arial Narrow" w:hAnsi="Arial Narrow" w:cs="Arial Narrow"/>
          <w:color w:val="000000"/>
        </w:rPr>
        <w:t>této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smlouvy.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8" w:lineRule="auto"/>
        <w:ind w:left="1000" w:right="940" w:hanging="28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2. Kupní cena předmětu koupě je cena konečná, zahrnuje veškeré náklady prodávajícího vč. dopravy do místa  plnění včetně instalace a poplatků dle autorského zákona a příspěvku na likvidaci historického elektroodpadu.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8" w:lineRule="auto"/>
        <w:ind w:left="990" w:right="932" w:hanging="27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3. Kupující se zavazuje uhradit prodáv</w:t>
      </w:r>
      <w:r>
        <w:rPr>
          <w:rFonts w:ascii="Arial Narrow" w:eastAsia="Arial Narrow" w:hAnsi="Arial Narrow" w:cs="Arial Narrow"/>
          <w:color w:val="000000"/>
        </w:rPr>
        <w:t>ajícímu cenu předmětu koupě, a to na základě faktury (daňového dokladu).  Kupující je oprávněn vrátit fakturu (daňový doklad) prodávajícímu, a to až do lhůty splatnosti. V takovém případě  není kupující v prodlení s úhradou kupní ceny. Nová lhůta splatnost</w:t>
      </w:r>
      <w:r>
        <w:rPr>
          <w:rFonts w:ascii="Arial Narrow" w:eastAsia="Arial Narrow" w:hAnsi="Arial Narrow" w:cs="Arial Narrow"/>
          <w:color w:val="000000"/>
        </w:rPr>
        <w:t xml:space="preserve">i začíná běžet dnem doručení bezvadné faktury (daňového dokladu).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994" w:right="932" w:hanging="287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4. Splatnost faktury (daňového dokladu) bude 21 kalendářních dnů ode dne doručení kupujícímu. Fakturu (daňový  doklad) doručuje prodávající kupujícímu v digitální formě ve formátu ISDOC/ISD</w:t>
      </w:r>
      <w:r>
        <w:rPr>
          <w:rFonts w:ascii="Arial Narrow" w:eastAsia="Arial Narrow" w:hAnsi="Arial Narrow" w:cs="Arial Narrow"/>
          <w:color w:val="000000"/>
        </w:rPr>
        <w:t xml:space="preserve">OCX (případně PDF/A), do  datové schránky nebo na kontaktní e-mailovou adresu kupujícího.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71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5. Celkovou a pro účely fakturace rozhodnou cenou se rozumí cena včetně DPH.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8" w:lineRule="auto"/>
        <w:ind w:left="992" w:right="934" w:hanging="28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6. Cenu předmětu koupě je možné změnit pouze v případě, že dojde v průběhu realizace předmětu koupě ke  </w:t>
      </w:r>
      <w:r>
        <w:rPr>
          <w:rFonts w:ascii="Arial Narrow" w:eastAsia="Arial Narrow" w:hAnsi="Arial Narrow" w:cs="Arial Narrow"/>
          <w:color w:val="000000"/>
        </w:rPr>
        <w:lastRenderedPageBreak/>
        <w:t xml:space="preserve">změnám daňových předpisů upravujících výši sazby DPH.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71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7. Smluvní strany se dohodly, že dojde-li v průběhu plnění předmětu této smlouvy ke změně zákonné</w:t>
      </w:r>
      <w:r>
        <w:rPr>
          <w:rFonts w:ascii="Arial Narrow" w:eastAsia="Arial Narrow" w:hAnsi="Arial Narrow" w:cs="Arial Narrow"/>
          <w:color w:val="000000"/>
        </w:rPr>
        <w:t xml:space="preserve"> sazby DPH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8" w:line="240" w:lineRule="auto"/>
        <w:ind w:left="10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>◼</w:t>
      </w: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KUPNÍ SMLOUVA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Nákup ICT zařízení 18/2024 (NB pro ZŠ a MŠ Družby)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Zakázka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»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SMK/157188/2024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strana 2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celkem 8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92" w:right="941" w:firstLine="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stanovené pro příslušné plnění vyplývající z této smlouvy, je prodávající od okamžiku nabytí účinnosti změny  zákonné sazby DPH povinen účtovat kupujícímu platnou sazbu DPH. O této skutečnosti není nutné uzavírat  dodatek k této smlouvě.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71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8. Úhrada za plnění z této smlouvy bude realizována bezhotovostním převodem na účet prodávajícího.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992" w:right="940" w:hanging="279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9. Předmět plnění objednatel pořizuje pro ekonomickou činnost. Pokud předmět smlouvy splňuje podmínky dle  Nařízení vlády č. 361/2014 Sb., dochází k přenes</w:t>
      </w:r>
      <w:r>
        <w:rPr>
          <w:rFonts w:ascii="Arial Narrow" w:eastAsia="Arial Narrow" w:hAnsi="Arial Narrow" w:cs="Arial Narrow"/>
          <w:color w:val="000000"/>
        </w:rPr>
        <w:t xml:space="preserve">ení daňové povinnosti na objednatele. Na toto plnění bude  zhotovitel vystavovat daňové doklady zvlášť.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4869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V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3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Smluvní pokuta a úrok z prodlení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8" w:lineRule="auto"/>
        <w:ind w:left="996" w:right="935" w:hanging="27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1. V případě, že prodávající nedodrží termíny dle čl. II, III nebo VII, má kupující právo na smluvní pokutu ve výši  0,1 % z celkové ceny předmětu plnění (vč. DPH) za každý den prodlení a za každý jednotlivý případ porušení  povinnosti.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28" w:lineRule="auto"/>
        <w:ind w:left="1000" w:right="938" w:hanging="28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2. V případě, že </w:t>
      </w:r>
      <w:r>
        <w:rPr>
          <w:rFonts w:ascii="Arial Narrow" w:eastAsia="Arial Narrow" w:hAnsi="Arial Narrow" w:cs="Arial Narrow"/>
          <w:color w:val="000000"/>
        </w:rPr>
        <w:t xml:space="preserve">kupující nedodrží dobu splatnosti faktur dle čl. V odst. 4, má prodávající právo požadovat smluvní  pokutu 0,1 % z celkové ceny předmětu plnění (vč. DPH) za každý den prodlení.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8" w:lineRule="auto"/>
        <w:ind w:left="994" w:right="942" w:hanging="281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3. Zaplacením smluvní pokuty či úroků z prodlení není dotčeno právo na náhradu škody, která vznikla smluvní  straně v příčinné souvislosti s porušením smlouvy.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994" w:right="935" w:hanging="287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4. Poruší-li prodávající jakoukoliv povinnost uvedenou v článku XI odst. 1, je kupující oprávně</w:t>
      </w:r>
      <w:r>
        <w:rPr>
          <w:rFonts w:ascii="Arial Narrow" w:eastAsia="Arial Narrow" w:hAnsi="Arial Narrow" w:cs="Arial Narrow"/>
          <w:color w:val="000000"/>
        </w:rPr>
        <w:t xml:space="preserve">n požadovat po  prodávajícím smluvní pokutu ve výši 50 Kč za každý zpětně neodebraný kus zboží nebo za každý nepředaný  doklad potvrzující provedení ekologické likvidace zboží.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4845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VI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43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Přechod nebezpečí škody a nabytí vlastnického práva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337" w:lineRule="auto"/>
        <w:ind w:left="710" w:right="1503" w:firstLine="1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1. Nebezpečí škody na předmětu koupě přechází na kupujícího okamžikem jeho převzetí dle čl. III odst. 4. 2. Kupující nabývá vlastnické právo k předmětu koupě úplným zaplacením kupní ceny dle čl. IV odst. 1.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4818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VII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82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Záruční podmínky, vady předmětu koupě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8" w:lineRule="auto"/>
        <w:ind w:left="994" w:right="933" w:hanging="269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1. Prodávající poskytuje záruku v délce uvedené pro každý jednotlivý předmět koupě v příloze č. 1 ode dne jeho  dodání kupujícímu. Záruka se zejména vztahuje na vady materiálu, funkční vady nebo vady vzniklé při výrob</w:t>
      </w:r>
      <w:r>
        <w:rPr>
          <w:rFonts w:ascii="Arial Narrow" w:eastAsia="Arial Narrow" w:hAnsi="Arial Narrow" w:cs="Arial Narrow"/>
          <w:color w:val="000000"/>
        </w:rPr>
        <w:t xml:space="preserve">ě  nebo instalaci zboží. Obsahem záruky je závazek prodávajícího takovou vadu bezplatně odstranit, popř. dodat  během opravy zboží náhradní. Záruční servis je zajišťován prodávajícím v místě určení plnění smlouvy dle  přílohy č. 3.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8" w:lineRule="auto"/>
        <w:ind w:left="1000" w:right="942" w:hanging="28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2. V případě výskytu va</w:t>
      </w:r>
      <w:r>
        <w:rPr>
          <w:rFonts w:ascii="Arial Narrow" w:eastAsia="Arial Narrow" w:hAnsi="Arial Narrow" w:cs="Arial Narrow"/>
          <w:color w:val="000000"/>
        </w:rPr>
        <w:t xml:space="preserve">d po dobu záruky je kupující povinen uplatnit nároky z odpovědnosti za vady u  prodávajícího neprodleně po zjištění vady, nejpozději však do konce záruční doby (reklamace).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1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3. Reklamace závad provádí kupující vždy písemně a doručuje se e-mailem nebo datové schránky prodávajícího.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994" w:right="936" w:hanging="28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4. Pokud není v příloze č. 1 pro jednotlivý předmět koupě uvedeno jinak, prodávající je povinen záruční vady  odstranit ve lhůtě do 15 dnů. Záruční</w:t>
      </w:r>
      <w:r>
        <w:rPr>
          <w:rFonts w:ascii="Arial Narrow" w:eastAsia="Arial Narrow" w:hAnsi="Arial Narrow" w:cs="Arial Narrow"/>
          <w:color w:val="000000"/>
        </w:rPr>
        <w:t xml:space="preserve"> vadu může prodávající odstranit opravou, výměnou vadného dílu nebo  dodáním nového zařízení se stejnými nebo lepšími parametry.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71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5. Záruční doba neběží po dobu, po kterou kupující nemůže užívat zboží pro jeho vady.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left="4794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VIII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22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Odstoupení od smlouvy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8" w:lineRule="auto"/>
        <w:ind w:left="990" w:right="932" w:hanging="2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1. Kromě důvodů stanovených občanským zákoníkem může prodávající od této smlouvy jednostranně odstoupit  v případě, že na straně kupujícího dojde k prodlení s platbou delší než 5 dnů po splatnosti a pokud kupující  nezjedná nápravu, přestože bude prodávají</w:t>
      </w:r>
      <w:r>
        <w:rPr>
          <w:rFonts w:ascii="Arial Narrow" w:eastAsia="Arial Narrow" w:hAnsi="Arial Narrow" w:cs="Arial Narrow"/>
          <w:color w:val="000000"/>
        </w:rPr>
        <w:t>cím na tuto skutečnost prokazatelně upozorněn, do 5 kalendářních  dnů od doručení upozornění.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5" w:line="240" w:lineRule="auto"/>
        <w:ind w:left="10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lastRenderedPageBreak/>
        <w:t>◼</w:t>
      </w: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KUPNÍ SMLOUVA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Nákup ICT zařízení 18/2024 (NB pro ZŠ a MŠ Družby)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Zakázka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»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SMK/157188/2024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strana 3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celkem 8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90" w:right="935" w:hanging="28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2. Kromě důvodů stanovených občanským zákoníkem může kupující od této smlouvy jednostranně odstoupit v případě, že na straně prodávajícího dojde k neplnění předmětu koupě v termínech a kvalitě dle příslušných  ustanovení této smlouvy a pokud prodávající ne</w:t>
      </w:r>
      <w:r>
        <w:rPr>
          <w:rFonts w:ascii="Arial Narrow" w:eastAsia="Arial Narrow" w:hAnsi="Arial Narrow" w:cs="Arial Narrow"/>
          <w:color w:val="000000"/>
        </w:rPr>
        <w:t xml:space="preserve">zjedná nápravu, přestože bude kupujícím na tuto skutečnost  prokazatelně upozorněn, do 5 kalendářních dnů od doručení upozornění.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9" w:lineRule="auto"/>
        <w:ind w:left="994" w:right="932" w:hanging="28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3. Kupující od smlouvy také jednostranně odstoupí v případě, že se na prodávajícího a/nebo poddodavatele  a/nebo jím dodávaný předmět smlouvy během plnění smlouvy budou vztahovat omezující opatření ve smyslu  prohlášení uvedených v čl. X.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4845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IX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84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Autorská práva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1000" w:right="934" w:hanging="27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1. Pokud jsou předmětem koupě práva k užití počítačových programů (licence), prodávající odpovídá za to, že  práva k užití počítačových programů, které budou pocházet přímo od výrobce (nositele licenčních práv),  prodávající zajistí pro kupujícího licenční</w:t>
      </w:r>
      <w:r>
        <w:rPr>
          <w:rFonts w:ascii="Arial Narrow" w:eastAsia="Arial Narrow" w:hAnsi="Arial Narrow" w:cs="Arial Narrow"/>
          <w:color w:val="000000"/>
        </w:rPr>
        <w:t xml:space="preserve"> klíče a zapsání licencí (registrace), pokud je pro jejich užívání  nezbytné.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8" w:lineRule="auto"/>
        <w:ind w:left="1071" w:right="1094" w:hanging="361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2. V případě licencí, které nebudou pocházet přímo od výrobce (nositele licenčních práv), musí  a) platně dojít k vyčerpání práva na šíření ve smyslu článku 4 odst. 2 Směrnice E</w:t>
      </w:r>
      <w:r>
        <w:rPr>
          <w:rFonts w:ascii="Arial Narrow" w:eastAsia="Arial Narrow" w:hAnsi="Arial Narrow" w:cs="Arial Narrow"/>
          <w:color w:val="000000"/>
        </w:rPr>
        <w:t xml:space="preserve">vropského parlamentu a  Rady 2009/24/ES o právní ochraně počítačových programů a související judikatury Evropského  soudního dvora, nebo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431" w:right="1274" w:hanging="35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b) být zajištěn souhlas výrobce (nositele licenčních práv) s dodáním těchto produktů objednateli a tento  souhlas dol</w:t>
      </w:r>
      <w:r>
        <w:rPr>
          <w:rFonts w:ascii="Arial Narrow" w:eastAsia="Arial Narrow" w:hAnsi="Arial Narrow" w:cs="Arial Narrow"/>
          <w:color w:val="000000"/>
        </w:rPr>
        <w:t xml:space="preserve">ožen kupujícímu, a to před převzetím licencí kupujícím.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8" w:lineRule="auto"/>
        <w:ind w:left="993" w:right="942" w:hanging="28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3. Prodávající je v případě produktů, u kterých došlo k vyčerpání práva na šíření ve smyslu odstavce  2 písm. a) povinen spolu s produkty předat kupujícímu, a to před převzetím licencí kupujícím, následující  dokumenty: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136" w:right="940" w:hanging="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a) úředně ověřenou kopii nebo orig</w:t>
      </w:r>
      <w:r>
        <w:rPr>
          <w:rFonts w:ascii="Arial Narrow" w:eastAsia="Arial Narrow" w:hAnsi="Arial Narrow" w:cs="Arial Narrow"/>
          <w:color w:val="000000"/>
        </w:rPr>
        <w:t xml:space="preserve">inál nabývacího titulu všech dřívějších nabyvatelů licence (z něhož bude  vyplývat identifikace nabývaných licencí a kontraktu, v rámci kterého byly licence nabývány),  b) úředně ověřenou kopii nebo originál prohlášení o </w:t>
      </w:r>
      <w:proofErr w:type="spellStart"/>
      <w:r>
        <w:rPr>
          <w:rFonts w:ascii="Arial Narrow" w:eastAsia="Arial Narrow" w:hAnsi="Arial Narrow" w:cs="Arial Narrow"/>
          <w:color w:val="000000"/>
        </w:rPr>
        <w:t>deinstalaci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software u všech dřívěj</w:t>
      </w:r>
      <w:r>
        <w:rPr>
          <w:rFonts w:ascii="Arial Narrow" w:eastAsia="Arial Narrow" w:hAnsi="Arial Narrow" w:cs="Arial Narrow"/>
          <w:color w:val="000000"/>
        </w:rPr>
        <w:t xml:space="preserve">ších nabyvatelů,  c) úředně ověřenou kopii nebo originál nabývacího titulu prodávajícího.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8" w:lineRule="auto"/>
        <w:ind w:left="1000" w:right="938" w:firstLine="1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Dále prodávající zajistí podporu při stahování a instalaci </w:t>
      </w:r>
      <w:proofErr w:type="spellStart"/>
      <w:r>
        <w:rPr>
          <w:rFonts w:ascii="Arial Narrow" w:eastAsia="Arial Narrow" w:hAnsi="Arial Narrow" w:cs="Arial Narrow"/>
          <w:color w:val="000000"/>
        </w:rPr>
        <w:t>patchů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000000"/>
        </w:rPr>
        <w:t>buildů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ze stránek výrobce (nositele licenčních  práv), na které má kupující právo v souvislosti s</w:t>
      </w:r>
      <w:r>
        <w:rPr>
          <w:rFonts w:ascii="Arial Narrow" w:eastAsia="Arial Narrow" w:hAnsi="Arial Narrow" w:cs="Arial Narrow"/>
          <w:color w:val="000000"/>
        </w:rPr>
        <w:t xml:space="preserve"> vlastnictvím licence a to po celou dobu užívání licencí kupujícím.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336" w:lineRule="auto"/>
        <w:ind w:left="712" w:right="2243" w:hanging="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4. Smluvní strany mají za to, že celková cena podle této smlouvy zahrnuje i odměnu za licence.  5. Prodávající se zavazuje, že neposkytne licenci k dodaným produktům žádné další třetí osobě.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28" w:lineRule="auto"/>
        <w:ind w:left="990" w:right="987" w:hanging="27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6. Prodávající se zavazuje neporušit práva třetích osob, která </w:t>
      </w:r>
      <w:r>
        <w:rPr>
          <w:rFonts w:ascii="Arial Narrow" w:eastAsia="Arial Narrow" w:hAnsi="Arial Narrow" w:cs="Arial Narrow"/>
          <w:color w:val="000000"/>
        </w:rPr>
        <w:t xml:space="preserve">těmto osobám mohou plynout z práv k duševnímu  vlastnictví, zejména z autorských práv a práv průmyslového vlastnictví.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000" w:right="990" w:hanging="28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7. Prodávající se zavazuje kupujícímu uhradit veškeré náklady, výdaje a majetkovou i nemajetkovou újmu, které  kupujícímu vzniknou v dů</w:t>
      </w:r>
      <w:r>
        <w:rPr>
          <w:rFonts w:ascii="Arial Narrow" w:eastAsia="Arial Narrow" w:hAnsi="Arial Narrow" w:cs="Arial Narrow"/>
          <w:color w:val="000000"/>
        </w:rPr>
        <w:t xml:space="preserve">sledku uplatnění práv třetích osob vůči kupujícímu v souvislosti s porušením  povinnosti prodávajícího podle tohoto článku.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4869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X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56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Čestné prohlášení prodávajícího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1. Prodávající prohlašuje, že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a) není dodavatelem ve smyslu nařízení Rady EU č. 2022/576, tj. že není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295" w:right="941" w:firstLine="4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i. ruským státním příslušníkem, fyzickou či právnickou osobou, subjektem či orgánem se sídlem v Rusku, </w:t>
      </w:r>
      <w:proofErr w:type="spellStart"/>
      <w:r>
        <w:rPr>
          <w:rFonts w:ascii="Arial Narrow" w:eastAsia="Arial Narrow" w:hAnsi="Arial Narrow" w:cs="Arial Narrow"/>
          <w:color w:val="000000"/>
        </w:rPr>
        <w:t>ii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. právnickou osobou, subjektem nebo orgánem, který je z více než 50 % přímo či nepřímo vlastněný  některým ze subjektů uvedených v písmeni a), nebo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1569" w:right="939" w:hanging="314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ii</w:t>
      </w:r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. fyzickou nebo právnickou osobou, subjektem nebo orgánem, který jedná jménem nebo na pokyn  některého ze subjektů uvedených v písmeni a) nebo b).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283" w:right="933" w:hanging="28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b) nevyužije při plnění veřejné zakázky poddodavatele, který by naplnil výše uvedená písm. a) – c), pokud b</w:t>
      </w:r>
      <w:r>
        <w:rPr>
          <w:rFonts w:ascii="Arial Narrow" w:eastAsia="Arial Narrow" w:hAnsi="Arial Narrow" w:cs="Arial Narrow"/>
          <w:color w:val="000000"/>
        </w:rPr>
        <w:t xml:space="preserve">y  plnil více než 10 % hodnoty smlouvy (zakázky).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1285" w:right="941" w:hanging="28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c) neobchoduje se sankcionovaným zbožím, které se nachází v Rusku nebo Bělorusku či z Ruska nebo  Běloruska pochází a nenabízí takové zboží v rámci plnění veřejných zakázek.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3" w:line="240" w:lineRule="auto"/>
        <w:ind w:left="10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>◼</w:t>
      </w: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KUPNÍ SMLOUVA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Nákup ICT zařízení 18/2024 (NB pro ZŠ a MŠ Družby)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Zakázka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»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SMK/157188/2024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strana 4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celkem 8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277" w:right="934" w:hanging="28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d) žádné finanční prostředky, které obdrží za plnění této smlouvy (veřejné zakázky), přímo ani nepřímo  nezpřístupní fyzickým nebo právnickým osobám, subjektům či orgánům s nimi spojeným uvedeným v  sankčním seznamu v příloze nařízení Rady (EU) č. 269/2014</w:t>
      </w:r>
      <w:r>
        <w:rPr>
          <w:rFonts w:ascii="Arial Narrow" w:eastAsia="Arial Narrow" w:hAnsi="Arial Narrow" w:cs="Arial Narrow"/>
          <w:color w:val="000000"/>
        </w:rPr>
        <w:t xml:space="preserve"> ve spojení s prováděcím nařízením Rady (EU)  </w:t>
      </w:r>
      <w:r>
        <w:rPr>
          <w:rFonts w:ascii="Arial Narrow" w:eastAsia="Arial Narrow" w:hAnsi="Arial Narrow" w:cs="Arial Narrow"/>
          <w:color w:val="000000"/>
        </w:rPr>
        <w:lastRenderedPageBreak/>
        <w:t xml:space="preserve">č. 2022/581, nařízení Rady (EU) č. 208/2014 a nařízení Rady (ES) č. 765/2006 nebo v jejich prospěch.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8" w:lineRule="auto"/>
        <w:ind w:left="994" w:right="942" w:hanging="28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2. Prodávající prohlašuje, že se na něj nebo jím dodávaný předmět smlouvy nevztahuje omezující opatření ve  </w:t>
      </w:r>
      <w:r>
        <w:rPr>
          <w:rFonts w:ascii="Arial Narrow" w:eastAsia="Arial Narrow" w:hAnsi="Arial Narrow" w:cs="Arial Narrow"/>
          <w:color w:val="000000"/>
        </w:rPr>
        <w:t xml:space="preserve">smyslu § 4b zákona č. 159/2006 Sb., o střetu zájmů.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28" w:lineRule="auto"/>
        <w:ind w:left="994" w:right="936" w:hanging="28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3. Prodávající prohlašuje, že se před uzavřením smlouvy nedopustil v souvislosti se zadávacím řízením sám nebo  prostřednictvím jiné osoby žádného jednání, jež by odporovalo zákonu nebo dobrým mravům neb</w:t>
      </w:r>
      <w:r>
        <w:rPr>
          <w:rFonts w:ascii="Arial Narrow" w:eastAsia="Arial Narrow" w:hAnsi="Arial Narrow" w:cs="Arial Narrow"/>
          <w:color w:val="000000"/>
        </w:rPr>
        <w:t>o by zákon  obcházelo, zejména, že nenabízel žádné výhody osobám podílejícím se na zadání veřejné zakázky, na kterou  s ním kupující uzavřel smlouvu, a že se zejména ve vztahu k ostatním uchazečům nedopustil žádného jednání  narušujícího hospodářskou soutě</w:t>
      </w:r>
      <w:r>
        <w:rPr>
          <w:rFonts w:ascii="Arial Narrow" w:eastAsia="Arial Narrow" w:hAnsi="Arial Narrow" w:cs="Arial Narrow"/>
          <w:color w:val="000000"/>
        </w:rPr>
        <w:t xml:space="preserve">ž.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0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4. Prodávající se zavazuje neprodleně informovat kupujícího o změnách výše uvedených prohlášení.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" w:line="240" w:lineRule="auto"/>
        <w:ind w:left="4845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Článek XI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96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Závěrečná ustanovení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994" w:right="939" w:hanging="269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1. Prodávající se zavazuje zajistit u kupujícího zpětný odběr jím dodaného elektrozařízení a jeho následnou  ekologickou likvidaci. Prodávající je na vyžádání povinen kupujícímu předat doklad potvrzující provedení  ekologické likvidace elektrozařízení.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8" w:lineRule="auto"/>
        <w:ind w:left="992" w:right="932" w:hanging="28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2.</w:t>
      </w:r>
      <w:r>
        <w:rPr>
          <w:rFonts w:ascii="Arial Narrow" w:eastAsia="Arial Narrow" w:hAnsi="Arial Narrow" w:cs="Arial Narrow"/>
          <w:color w:val="000000"/>
        </w:rPr>
        <w:t xml:space="preserve"> V případě oboustranně nezaviněné skutečnosti (např. při neschopnosti prodávajícího plnit předmět smlouvy  z důvodu výpadku dodávek zboží na trhu) budou tyto případy řešeny oboustranně odsouhlasenou změnou  předmětu smlouvy při zachování všech minimálních </w:t>
      </w:r>
      <w:r>
        <w:rPr>
          <w:rFonts w:ascii="Arial Narrow" w:eastAsia="Arial Narrow" w:hAnsi="Arial Narrow" w:cs="Arial Narrow"/>
          <w:color w:val="000000"/>
        </w:rPr>
        <w:t xml:space="preserve">technických parametrů předmětu smlouvy. V takovém  případě jsou smluvní strany povinny uzavřít dodatek ke smlouvě.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30" w:lineRule="auto"/>
        <w:ind w:left="1000" w:right="941" w:hanging="28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3. Smluvní strany se dohodly na tom, že tato smlouva je uzavřena okamžikem podpisu obou smluvních stran,  přičemž rozhodující je datum pozdě</w:t>
      </w:r>
      <w:r>
        <w:rPr>
          <w:rFonts w:ascii="Arial Narrow" w:eastAsia="Arial Narrow" w:hAnsi="Arial Narrow" w:cs="Arial Narrow"/>
          <w:color w:val="000000"/>
        </w:rPr>
        <w:t xml:space="preserve">jšího podpisu a účinnosti nabývá zveřejněním v registru smluv.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28" w:lineRule="auto"/>
        <w:ind w:left="994" w:right="934" w:hanging="28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4. Kupující je povinným subjektem dle zákona č. 340/2015 Sb., o registru smluv, v platném znění. Smluvní strany  se dohodly, že povinnosti dle tohoto zákona v souvislosti s uveřejněním smlouvy zajistí kupující.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8" w:lineRule="auto"/>
        <w:ind w:left="995" w:right="941" w:hanging="28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5. Jakékoliv změny nebo doplňky této smlouvy</w:t>
      </w:r>
      <w:r>
        <w:rPr>
          <w:rFonts w:ascii="Arial Narrow" w:eastAsia="Arial Narrow" w:hAnsi="Arial Narrow" w:cs="Arial Narrow"/>
          <w:color w:val="000000"/>
        </w:rPr>
        <w:t xml:space="preserve"> nebo přílohy ke smlouvě musí být provedeny formou písemných,  chronologicky číslovaných dodatků, podepsaných oběma smluvními stranami.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28" w:lineRule="auto"/>
        <w:ind w:left="1000" w:right="942" w:hanging="288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6. Smluvní strany prohlašují, že si tuto smlouvu přečetly, že se dohodly na celém jejím obsahu, že se smluvními  podmín</w:t>
      </w:r>
      <w:r>
        <w:rPr>
          <w:rFonts w:ascii="Arial Narrow" w:eastAsia="Arial Narrow" w:hAnsi="Arial Narrow" w:cs="Arial Narrow"/>
          <w:color w:val="000000"/>
        </w:rPr>
        <w:t xml:space="preserve">kami souhlasí.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336" w:lineRule="auto"/>
        <w:ind w:left="712" w:right="938" w:firstLine="1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7. Právní vztahy touto smlouvou výslovně neupravené se řídí příslušnými ustanoveními OZ. 8. Tato smlouva je vyhotovena elektronicky a podepsána uznávanými elektronickými podpisy oprávněných osob.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28" w:lineRule="auto"/>
        <w:ind w:left="990" w:right="936" w:hanging="278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9. Za datum podpisu se považuje údaj uvedený v časovém razítku, pokud není, pak datum uvedené  v elektronickém podpisu podepisující strany.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725"/>
        <w:rPr>
          <w:rFonts w:ascii="Arial Narrow" w:eastAsia="Arial Narrow" w:hAnsi="Arial Narrow" w:cs="Arial Narrow"/>
          <w:color w:val="000000"/>
        </w:rPr>
      </w:pPr>
      <w:proofErr w:type="gramStart"/>
      <w:r>
        <w:rPr>
          <w:rFonts w:ascii="Arial Narrow" w:eastAsia="Arial Narrow" w:hAnsi="Arial Narrow" w:cs="Arial Narrow"/>
          <w:color w:val="000000"/>
        </w:rPr>
        <w:t>10.Nedílnou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součástí smlouvy jsou tyto přílohy: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0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Příloha č. 1: Minimální technické a obchodní parametry předmětu smlouvy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0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Příloha č. 2: Cenová a obchodní specifikace předmětu smlouvy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0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Příloha č. 3: Místa plnění a oprávněné osoby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0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Příloha č. 4: Seznam poddodavatelů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5" w:line="240" w:lineRule="auto"/>
        <w:ind w:left="10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>◼</w:t>
      </w: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KUPNÍ SMLOUVA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Nákup ICT zařízení 18/2024 (NB pro ZŠ a MŠ Družby)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Zakázka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»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SMK/157188/2024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strana 5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celkem 8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3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Příloha č. 1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1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Minimální technické a obchodní parametry předmětu smlouvy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28" w:lineRule="auto"/>
        <w:ind w:left="708" w:right="932" w:firstLine="3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Specifikace dodávky – ve sloupci „Hodnota“ je uvedena minimální </w:t>
      </w:r>
      <w:proofErr w:type="gramStart"/>
      <w:r>
        <w:rPr>
          <w:rFonts w:ascii="Arial Narrow" w:eastAsia="Arial Narrow" w:hAnsi="Arial Narrow" w:cs="Arial Narrow"/>
          <w:b/>
          <w:color w:val="000000"/>
        </w:rPr>
        <w:t>kupujícím</w:t>
      </w:r>
      <w:proofErr w:type="gramEnd"/>
      <w:r>
        <w:rPr>
          <w:rFonts w:ascii="Arial Narrow" w:eastAsia="Arial Narrow" w:hAnsi="Arial Narrow" w:cs="Arial Narrow"/>
          <w:b/>
          <w:color w:val="000000"/>
        </w:rPr>
        <w:t xml:space="preserve"> požadovaná hodnota  parametru nebo konfigurace a požadavky na instalační a konfigurační práce. Pokud není uvedeno jinak,  tak všechny níže uvedené parametry jsou minimální. 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28" w:lineRule="auto"/>
        <w:ind w:left="716" w:right="939" w:firstLine="11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Ve sloupci „Skutečná hodnota“ je uvedena číselná hodnota parametru dodávaného zařízení nebo „ANO“  u </w:t>
      </w:r>
      <w:r>
        <w:rPr>
          <w:rFonts w:ascii="Arial Narrow" w:eastAsia="Arial Narrow" w:hAnsi="Arial Narrow" w:cs="Arial Narrow"/>
          <w:i/>
          <w:color w:val="000000"/>
        </w:rPr>
        <w:lastRenderedPageBreak/>
        <w:t xml:space="preserve">nečíselných hodnot.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28" w:lineRule="auto"/>
        <w:ind w:left="711" w:right="1048" w:firstLine="6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>Snadnou výměnou se u komponent rozumí taková výměna, která je možná buď přímo, nebo za pomoci běžných  nástrojů – šroubováku, pinzety,</w:t>
      </w:r>
      <w:r>
        <w:rPr>
          <w:rFonts w:ascii="Arial Narrow" w:eastAsia="Arial Narrow" w:hAnsi="Arial Narrow" w:cs="Arial Narrow"/>
          <w:i/>
          <w:color w:val="000000"/>
        </w:rPr>
        <w:t xml:space="preserve"> páčidla.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2" w:line="240" w:lineRule="auto"/>
        <w:ind w:left="725"/>
        <w:rPr>
          <w:rFonts w:ascii="Arial Narrow" w:eastAsia="Arial Narrow" w:hAnsi="Arial Narrow" w:cs="Arial Narrow"/>
          <w:b/>
          <w:color w:val="000000"/>
          <w:sz w:val="31"/>
          <w:szCs w:val="31"/>
        </w:rPr>
      </w:pPr>
      <w:r>
        <w:rPr>
          <w:rFonts w:ascii="Arial Narrow" w:eastAsia="Arial Narrow" w:hAnsi="Arial Narrow" w:cs="Arial Narrow"/>
          <w:b/>
          <w:color w:val="000000"/>
          <w:sz w:val="31"/>
          <w:szCs w:val="31"/>
        </w:rPr>
        <w:t>Notebook I</w:t>
      </w:r>
    </w:p>
    <w:tbl>
      <w:tblPr>
        <w:tblStyle w:val="a1"/>
        <w:tblW w:w="9762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4"/>
        <w:gridCol w:w="5385"/>
        <w:gridCol w:w="1973"/>
      </w:tblGrid>
      <w:tr w:rsidR="00DC2A31">
        <w:trPr>
          <w:trHeight w:val="271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Parametr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Hodnota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Skutečná hodnota</w:t>
            </w:r>
          </w:p>
        </w:tc>
      </w:tr>
      <w:tr w:rsidR="00DC2A31">
        <w:trPr>
          <w:trHeight w:val="273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Typ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Konvertibilní s funkcí tablet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</w:t>
            </w:r>
          </w:p>
        </w:tc>
      </w:tr>
      <w:tr w:rsidR="00DC2A31">
        <w:trPr>
          <w:trHeight w:val="316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Procesor (CPU) - hodnocení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19 000 bodů „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Average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CPU Mark“ na www.cpubenchmark.net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9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19 072 bodů </w:t>
            </w:r>
          </w:p>
        </w:tc>
      </w:tr>
      <w:tr w:rsidR="00DC2A31">
        <w:trPr>
          <w:trHeight w:val="319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LCD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15“ – 16“, IPS, dotykový, 2500×1500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16“, IPS,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dotykovy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, 2560x1600</w:t>
            </w:r>
          </w:p>
        </w:tc>
      </w:tr>
      <w:tr w:rsidR="00DC2A31">
        <w:trPr>
          <w:trHeight w:val="273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Grafická karta (GPU)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Integrovaná/dedikovaná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integrovaná </w:t>
            </w:r>
          </w:p>
        </w:tc>
      </w:tr>
      <w:tr w:rsidR="00DC2A31">
        <w:trPr>
          <w:trHeight w:val="271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Operační paměť (RAM)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16 GB DDR-5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16GB DDR5 </w:t>
            </w:r>
          </w:p>
        </w:tc>
      </w:tr>
      <w:tr w:rsidR="00DC2A31">
        <w:trPr>
          <w:trHeight w:val="273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Interní paměť/úložiště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SSD 1 TB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PCIe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NVMe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SSD 1TB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PCIe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NVMe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DC2A31">
        <w:trPr>
          <w:trHeight w:val="571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Síťové rozhraní - rychlost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6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Bluetooth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5.x</w:t>
            </w:r>
            <w:proofErr w:type="gramEnd"/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</w:t>
            </w:r>
          </w:p>
        </w:tc>
      </w:tr>
      <w:tr w:rsidR="00DC2A31">
        <w:trPr>
          <w:trHeight w:val="890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Rozhraní/porty - počet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 × HDMI 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2 ×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USB 3.x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 × USB-C s USB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Power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Delivery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DisplayPort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1.4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 × výstup pro sluchátka / Combo Audio Jack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1x HDMI 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2x USB 3.2 gen1 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8" w:right="119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1x USB-C s PD a DP 1.4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Cobo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Audio Jack </w:t>
            </w:r>
          </w:p>
        </w:tc>
      </w:tr>
      <w:tr w:rsidR="00DC2A31">
        <w:trPr>
          <w:trHeight w:val="480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OS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Platná podkladová licence Windows 11 CZ Pro 64bit.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Windows 11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Home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nová </w:t>
            </w:r>
          </w:p>
        </w:tc>
      </w:tr>
      <w:tr w:rsidR="00DC2A31">
        <w:trPr>
          <w:trHeight w:val="686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Výbava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 w:right="221" w:firstLine="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Podpora Windows 11, podsvícená klávesnice CZ, webkamera s krytkou a  rozpoznáváním obličeje, 2 × mikrofon, kovové provedení, čtečka paměťových  karet, digitální pero, optická bezdrátová myš 1 000 DPI, brašna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</w:t>
            </w:r>
          </w:p>
        </w:tc>
      </w:tr>
      <w:tr w:rsidR="00DC2A31">
        <w:trPr>
          <w:trHeight w:val="322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Hmotnost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Max. 2 kg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1,98 kg </w:t>
            </w:r>
          </w:p>
        </w:tc>
      </w:tr>
      <w:tr w:rsidR="00DC2A31">
        <w:trPr>
          <w:trHeight w:val="682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Energetická účinnost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7" w:right="350" w:firstLine="1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Certifikát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>Energy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 Star nebo certifikace zdroje napájení „80 Plus“ na úrovni  alespoň „Bronze“ nebo rovnocenný prokazující dosažení stejných či lepších  hodnot.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>Energy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 Star </w:t>
            </w:r>
          </w:p>
        </w:tc>
      </w:tr>
      <w:tr w:rsidR="00DC2A31">
        <w:trPr>
          <w:trHeight w:val="269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Operační paměť (RAM)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Snadno vyměnitelná/nahraditelná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ANO </w:t>
            </w:r>
          </w:p>
        </w:tc>
      </w:tr>
      <w:tr w:rsidR="00DC2A31">
        <w:trPr>
          <w:trHeight w:val="275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Baterie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Snadno vyměnitelná/nahraditelná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ANO </w:t>
            </w:r>
          </w:p>
        </w:tc>
      </w:tr>
      <w:tr w:rsidR="00DC2A31">
        <w:trPr>
          <w:trHeight w:val="262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Záruka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3 roky (s opravou v místě instalace)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  <w:shd w:val="clear" w:color="auto" w:fill="E2EFD9"/>
              </w:rPr>
              <w:t xml:space="preserve">3 roky s opravou v místě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  <w:shd w:val="clear" w:color="auto" w:fill="E2EFD9"/>
              </w:rPr>
              <w:t>ins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>tal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>.</w:t>
            </w:r>
          </w:p>
        </w:tc>
      </w:tr>
      <w:tr w:rsidR="00DC2A31">
        <w:trPr>
          <w:trHeight w:val="488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Instalační práce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5" w:right="72" w:firstLine="4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Čistá instalace OS bez předinstalovaného SW třetích stran, doprava, vybalení a  zapojení v místě určeném kupujícím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</w:t>
            </w:r>
          </w:p>
        </w:tc>
      </w:tr>
    </w:tbl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lastRenderedPageBreak/>
        <w:t>◼</w:t>
      </w: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KUPNÍ SMLOUVA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Nákup ICT zařízení 18/2024 (NB pro ZŠ a MŠ Družby)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Zakázka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»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SMK/157188/2024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strana 6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celkem 8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5"/>
        <w:rPr>
          <w:rFonts w:ascii="Arial Narrow" w:eastAsia="Arial Narrow" w:hAnsi="Arial Narrow" w:cs="Arial Narrow"/>
          <w:b/>
          <w:color w:val="000000"/>
          <w:sz w:val="31"/>
          <w:szCs w:val="31"/>
        </w:rPr>
      </w:pPr>
      <w:r>
        <w:rPr>
          <w:rFonts w:ascii="Arial Narrow" w:eastAsia="Arial Narrow" w:hAnsi="Arial Narrow" w:cs="Arial Narrow"/>
          <w:b/>
          <w:color w:val="000000"/>
          <w:sz w:val="31"/>
          <w:szCs w:val="31"/>
        </w:rPr>
        <w:t>Notebook II</w:t>
      </w:r>
    </w:p>
    <w:tbl>
      <w:tblPr>
        <w:tblStyle w:val="a2"/>
        <w:tblW w:w="9762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4"/>
        <w:gridCol w:w="5385"/>
        <w:gridCol w:w="1973"/>
      </w:tblGrid>
      <w:tr w:rsidR="00DC2A31">
        <w:trPr>
          <w:trHeight w:val="273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Parametr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Hodnota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Skutečná hodnota</w:t>
            </w:r>
          </w:p>
        </w:tc>
      </w:tr>
      <w:tr w:rsidR="00DC2A31">
        <w:trPr>
          <w:trHeight w:val="319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Procesor (CPU) - hodnocení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15 900 bodů „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Average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CPU Mark“ na www.cpubenchmark.net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15 973 bodů</w:t>
            </w:r>
          </w:p>
        </w:tc>
      </w:tr>
      <w:tr w:rsidR="00DC2A31">
        <w:trPr>
          <w:trHeight w:val="316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LCD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15“ – 16“, IPS, 1920×1080, antireflexní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15,6“, IPS, 1920x1080,antireflex.</w:t>
            </w:r>
          </w:p>
        </w:tc>
      </w:tr>
      <w:tr w:rsidR="00DC2A31">
        <w:trPr>
          <w:trHeight w:val="319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Grafická karta (GPU)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Integrovaná/dedikovaná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5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Integrovaná</w:t>
            </w:r>
          </w:p>
        </w:tc>
      </w:tr>
      <w:tr w:rsidR="00DC2A31">
        <w:trPr>
          <w:trHeight w:val="273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Operační paměť (RAM)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16 GB + volný slot na rozšíření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16GB + volný slot</w:t>
            </w:r>
          </w:p>
        </w:tc>
      </w:tr>
      <w:tr w:rsidR="00DC2A31">
        <w:trPr>
          <w:trHeight w:val="271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Interní paměť/úložiště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SSD 500 GB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PCIe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NVMe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512GB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PCIe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NVMe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DC2A31">
        <w:trPr>
          <w:trHeight w:val="686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Síťové rozhraní - rychlost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6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GB LAN RJ-45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Bluetooth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5.x</w:t>
            </w:r>
            <w:proofErr w:type="gramEnd"/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</w:t>
            </w:r>
          </w:p>
        </w:tc>
      </w:tr>
      <w:tr w:rsidR="00DC2A31">
        <w:trPr>
          <w:trHeight w:val="893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Rozhraní/porty - počet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 × HDMI (4K)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2 ×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USB 3.x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 × USB-C s USB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Power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Delivery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DisplayPort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1.4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 × výstup pro sluchátka / Combo Audio Jack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1x HDMI 2.1 (4K)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3x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USB.3.2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gen1 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9" w:right="126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1x USB-C s PD a DP 1.4  1x Combo Audio Jack </w:t>
            </w:r>
          </w:p>
        </w:tc>
      </w:tr>
      <w:tr w:rsidR="00DC2A31">
        <w:trPr>
          <w:trHeight w:val="477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OS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Platná podkladová licence Windows 11 CZ Pro 64bit.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Windows 11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Home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nová</w:t>
            </w:r>
          </w:p>
        </w:tc>
      </w:tr>
      <w:tr w:rsidR="00DC2A31">
        <w:trPr>
          <w:trHeight w:val="686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Výbava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6" w:right="172" w:firstLine="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Podpora Windows 11, podsvícená numerická klávesnice CZ, webkamera s krytkou, 2 × mikrofon, kovové provedení, optická bezdrátová myš 1 000 DPI,  brašna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</w:t>
            </w:r>
          </w:p>
        </w:tc>
      </w:tr>
      <w:tr w:rsidR="00DC2A31">
        <w:trPr>
          <w:trHeight w:val="277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Hmotnost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Max. 1,8 kg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1,74 kg </w:t>
            </w:r>
          </w:p>
        </w:tc>
      </w:tr>
      <w:tr w:rsidR="00DC2A31">
        <w:trPr>
          <w:trHeight w:val="681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Energetická účinnost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7" w:right="350" w:firstLine="1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Certifikát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>Energy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 Star nebo certifikace zdroje napájení „80 Plus“ na úrovni  alespoň „Bronze“ nebo rovnocenný prokazující dosažení stejných či lepších  hodnot.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>Energy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 Star </w:t>
            </w:r>
          </w:p>
        </w:tc>
      </w:tr>
      <w:tr w:rsidR="00DC2A31">
        <w:trPr>
          <w:trHeight w:val="259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Operační paměť (RAM)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Snadno vyměnitelná/nahraditelná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ANO </w:t>
            </w:r>
          </w:p>
        </w:tc>
      </w:tr>
      <w:tr w:rsidR="00DC2A31">
        <w:trPr>
          <w:trHeight w:val="285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Baterie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Snadno vyměnitelná/nahraditelná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ANO </w:t>
            </w:r>
          </w:p>
        </w:tc>
      </w:tr>
      <w:tr w:rsidR="00DC2A31">
        <w:trPr>
          <w:trHeight w:val="262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Záruka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shd w:val="clear" w:color="auto" w:fill="E2EFD9"/>
              </w:rPr>
              <w:t xml:space="preserve">3 roky (s opravou v místě instalace)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shd w:val="clear" w:color="auto" w:fill="E2EFD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  <w:shd w:val="clear" w:color="auto" w:fill="E2EFD9"/>
              </w:rPr>
              <w:t xml:space="preserve">3 roky s opravou v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  <w:shd w:val="clear" w:color="auto" w:fill="E2EFD9"/>
              </w:rPr>
              <w:t>mistě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  <w:shd w:val="clear" w:color="auto" w:fill="E2EFD9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  <w:shd w:val="clear" w:color="auto" w:fill="E2EFD9"/>
              </w:rPr>
              <w:t>instal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  <w:shd w:val="clear" w:color="auto" w:fill="E2EFD9"/>
              </w:rPr>
              <w:t>.</w:t>
            </w:r>
          </w:p>
        </w:tc>
      </w:tr>
      <w:tr w:rsidR="00DC2A31">
        <w:trPr>
          <w:trHeight w:val="490"/>
        </w:trPr>
        <w:tc>
          <w:tcPr>
            <w:tcW w:w="2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Instalační práce </w:t>
            </w:r>
          </w:p>
        </w:tc>
        <w:tc>
          <w:tcPr>
            <w:tcW w:w="5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5" w:right="72" w:firstLine="4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Čistá instalace OS bez předinstalovaného SW třetích stran, doprava, vybalení a  zapojení v místě určeném kupujícím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ANO </w:t>
            </w:r>
          </w:p>
        </w:tc>
      </w:tr>
    </w:tbl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C7E" w:rsidRDefault="00097C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>◼</w:t>
      </w: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KUPNÍ SMLOUVA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Nákup ICT zařízení 18/2024 (NB pro ZŠ a MŠ Družby)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404999"/>
          <w:sz w:val="16"/>
          <w:szCs w:val="16"/>
        </w:rPr>
        <w:sectPr w:rsidR="00DC2A31">
          <w:pgSz w:w="11900" w:h="16820"/>
          <w:pgMar w:top="271" w:right="427" w:bottom="316" w:left="710" w:header="0" w:footer="720" w:gutter="0"/>
          <w:pgNumType w:start="1"/>
          <w:cols w:space="708"/>
        </w:sectPr>
      </w:pP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Zakázka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»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SMK/157188/2024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strana 7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celkem 8 </w:t>
      </w:r>
    </w:p>
    <w:p w:rsidR="00C1000A" w:rsidRDefault="00C1000A" w:rsidP="00C100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4" w:line="240" w:lineRule="auto"/>
        <w:ind w:left="473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Příloha č.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</w:p>
    <w:p w:rsidR="00C1000A" w:rsidRDefault="00C1000A" w:rsidP="00C100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Cenová a obchodní specifikace předmětu smlouvy</w:t>
      </w:r>
    </w:p>
    <w:p w:rsidR="00C1000A" w:rsidRDefault="00C1000A" w:rsidP="00C100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C1000A" w:rsidRDefault="00C1000A" w:rsidP="00C100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C1000A" w:rsidRPr="00C1000A" w:rsidRDefault="00C1000A" w:rsidP="00C1000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C1000A">
        <w:rPr>
          <w:sz w:val="20"/>
          <w:szCs w:val="20"/>
        </w:rPr>
        <w:t xml:space="preserve">Notebook I  počet ks: 10 22 550,00  celkem bez DPH 225 500,00 DPH  47 355,00 celkem vč. DPH  272 855,00  obchodní označení: </w:t>
      </w:r>
      <w:proofErr w:type="spellStart"/>
      <w:r w:rsidRPr="00C1000A">
        <w:rPr>
          <w:sz w:val="20"/>
          <w:szCs w:val="20"/>
        </w:rPr>
        <w:t>Lenovo</w:t>
      </w:r>
      <w:proofErr w:type="spellEnd"/>
      <w:r w:rsidRPr="00C1000A">
        <w:rPr>
          <w:sz w:val="20"/>
          <w:szCs w:val="20"/>
        </w:rPr>
        <w:t xml:space="preserve"> </w:t>
      </w:r>
      <w:proofErr w:type="spellStart"/>
      <w:r w:rsidRPr="00C1000A">
        <w:rPr>
          <w:sz w:val="20"/>
          <w:szCs w:val="20"/>
        </w:rPr>
        <w:t>Yoga</w:t>
      </w:r>
      <w:proofErr w:type="spellEnd"/>
      <w:r w:rsidRPr="00C1000A">
        <w:rPr>
          <w:sz w:val="20"/>
          <w:szCs w:val="20"/>
        </w:rPr>
        <w:t xml:space="preserve"> 7 82YN0048CK + přísl.</w:t>
      </w:r>
      <w:r>
        <w:rPr>
          <w:sz w:val="20"/>
          <w:szCs w:val="20"/>
        </w:rPr>
        <w:br/>
      </w:r>
    </w:p>
    <w:p w:rsidR="00C1000A" w:rsidRDefault="00C1000A" w:rsidP="00C1000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C1000A">
        <w:rPr>
          <w:sz w:val="20"/>
          <w:szCs w:val="20"/>
        </w:rPr>
        <w:t xml:space="preserve">otebook II  počet ks:38 14 375,00, celkem bez DPH546 250,00 DPH 114 712,50 celkem vč. DPH 660 962,50 H, obchodní označení: P </w:t>
      </w:r>
      <w:proofErr w:type="spellStart"/>
      <w:r w:rsidRPr="00C1000A">
        <w:rPr>
          <w:sz w:val="20"/>
          <w:szCs w:val="20"/>
        </w:rPr>
        <w:t>ProBook</w:t>
      </w:r>
      <w:proofErr w:type="spellEnd"/>
      <w:r w:rsidRPr="00C1000A">
        <w:rPr>
          <w:sz w:val="20"/>
          <w:szCs w:val="20"/>
        </w:rPr>
        <w:t xml:space="preserve"> 455 G10 9Y6Z6AT + </w:t>
      </w:r>
      <w:proofErr w:type="spellStart"/>
      <w:r w:rsidRPr="00C1000A">
        <w:rPr>
          <w:sz w:val="20"/>
          <w:szCs w:val="20"/>
        </w:rPr>
        <w:t>přísl</w:t>
      </w:r>
      <w:proofErr w:type="spellEnd"/>
    </w:p>
    <w:p w:rsidR="00C1000A" w:rsidRPr="00C1000A" w:rsidRDefault="00C1000A" w:rsidP="00C1000A">
      <w:pPr>
        <w:pStyle w:val="Odstavecseseznamem"/>
        <w:rPr>
          <w:sz w:val="20"/>
          <w:szCs w:val="20"/>
        </w:rPr>
      </w:pPr>
    </w:p>
    <w:p w:rsidR="00C1000A" w:rsidRPr="00C1000A" w:rsidRDefault="00C1000A" w:rsidP="00C1000A">
      <w:pPr>
        <w:rPr>
          <w:sz w:val="20"/>
          <w:szCs w:val="20"/>
        </w:rPr>
      </w:pPr>
      <w:r w:rsidRPr="00C1000A">
        <w:rPr>
          <w:sz w:val="20"/>
          <w:szCs w:val="20"/>
        </w:rPr>
        <w:t>Cena celkem za kompletní dodávku: cena bez DPH 771 750,00, DPH,  162 067,50  celkem vč. DPH933 817,50</w:t>
      </w:r>
    </w:p>
    <w:p w:rsidR="00D75741" w:rsidRPr="00EC4902" w:rsidRDefault="00C1000A" w:rsidP="00EC4902">
      <w:pPr>
        <w:rPr>
          <w:sz w:val="20"/>
          <w:szCs w:val="20"/>
        </w:rPr>
      </w:pPr>
      <w:r w:rsidRPr="00C1000A">
        <w:rPr>
          <w:sz w:val="20"/>
          <w:szCs w:val="20"/>
        </w:rPr>
        <w:t>Všechny ceny obsahují instalační práce v rozsahu dle Přílohy č. 1</w:t>
      </w:r>
      <w:bookmarkStart w:id="0" w:name="_GoBack"/>
      <w:bookmarkEnd w:id="0"/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4" w:line="240" w:lineRule="auto"/>
        <w:ind w:left="473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Příloha č. 3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Místa plnění a oprávněné osoby </w:t>
      </w:r>
    </w:p>
    <w:tbl>
      <w:tblPr>
        <w:tblStyle w:val="a3"/>
        <w:tblW w:w="8931" w:type="dxa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4397"/>
        <w:gridCol w:w="1699"/>
      </w:tblGrid>
      <w:tr w:rsidR="00DC2A31">
        <w:trPr>
          <w:trHeight w:val="424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Organizace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Adresa místa plnění </w:t>
            </w:r>
          </w:p>
        </w:tc>
        <w:tc>
          <w:tcPr>
            <w:tcW w:w="4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Oprávněné osoby </w:t>
            </w: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Zařízení</w:t>
            </w:r>
          </w:p>
        </w:tc>
      </w:tr>
      <w:tr w:rsidR="00DC2A31">
        <w:trPr>
          <w:trHeight w:val="847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ZŠ a MŠ Družby 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tř. Družby 1383, Karviná</w:t>
            </w:r>
          </w:p>
        </w:tc>
        <w:tc>
          <w:tcPr>
            <w:tcW w:w="4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D0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87" w:right="447" w:hanging="7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Notebook I</w:t>
            </w:r>
          </w:p>
          <w:p w:rsidR="00DC2A31" w:rsidRDefault="00EC4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Notebook II</w:t>
            </w:r>
          </w:p>
        </w:tc>
      </w:tr>
    </w:tbl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A31" w:rsidRDefault="00DC2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3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Příloha č. 4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5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Seznam poddodavatelů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734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MS Gothic" w:eastAsia="MS Gothic" w:hAnsi="MS Gothic" w:cs="MS Gothic"/>
          <w:color w:val="000000"/>
        </w:rPr>
        <w:t>☒</w:t>
      </w:r>
      <w:r>
        <w:rPr>
          <w:rFonts w:ascii="MS Gothic" w:eastAsia="MS Gothic" w:hAnsi="MS Gothic" w:cs="MS Gothic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Tato smlouva nebude plněna prostřednictvím </w:t>
      </w:r>
      <w:proofErr w:type="gramStart"/>
      <w:r>
        <w:rPr>
          <w:rFonts w:ascii="Arial Narrow" w:eastAsia="Arial Narrow" w:hAnsi="Arial Narrow" w:cs="Arial Narrow"/>
          <w:color w:val="000000"/>
        </w:rPr>
        <w:t>poddodavatelů.</w:t>
      </w:r>
      <w:r>
        <w:rPr>
          <w:rFonts w:ascii="Arial Narrow" w:eastAsia="Arial Narrow" w:hAnsi="Arial Narrow" w:cs="Arial Narrow"/>
          <w:color w:val="000000"/>
          <w:sz w:val="23"/>
          <w:szCs w:val="23"/>
          <w:vertAlign w:val="superscript"/>
        </w:rPr>
        <w:t>1</w:t>
      </w:r>
      <w:proofErr w:type="gramEnd"/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734"/>
        <w:rPr>
          <w:rFonts w:ascii="Arial Narrow" w:eastAsia="Arial Narrow" w:hAnsi="Arial Narrow" w:cs="Arial Narrow"/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rFonts w:ascii="MS Gothic" w:eastAsia="MS Gothic" w:hAnsi="MS Gothic" w:cs="MS Gothic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Tato smlouva bude plněna prostřednictvím následujících poddodavatelů: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719"/>
        <w:rPr>
          <w:rFonts w:ascii="Arial Narrow" w:eastAsia="Arial Narrow" w:hAnsi="Arial Narrow" w:cs="Arial Narrow"/>
          <w:color w:val="FF0000"/>
        </w:rPr>
      </w:pPr>
      <w:r>
        <w:rPr>
          <w:rFonts w:ascii="Arial Narrow" w:eastAsia="Arial Narrow" w:hAnsi="Arial Narrow" w:cs="Arial Narrow"/>
          <w:color w:val="FF0000"/>
        </w:rPr>
        <w:t xml:space="preserve">Uveďte název subjektu, sídlo, IČO, definici části plnění a podíl na plnění v %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41" w:line="240" w:lineRule="auto"/>
        <w:ind w:left="716"/>
        <w:rPr>
          <w:rFonts w:ascii="Arial Narrow" w:eastAsia="Arial Narrow" w:hAnsi="Arial Narrow" w:cs="Arial Narrow"/>
          <w:color w:val="000000"/>
          <w:sz w:val="19"/>
          <w:szCs w:val="19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  <w:vertAlign w:val="superscript"/>
        </w:rPr>
        <w:lastRenderedPageBreak/>
        <w:t xml:space="preserve">1 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Platná varianta se označí křížkem.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2" w:line="240" w:lineRule="auto"/>
        <w:ind w:left="10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>◼</w:t>
      </w:r>
      <w:r>
        <w:rPr>
          <w:rFonts w:ascii="Noto Sans Symbols" w:eastAsia="Noto Sans Symbols" w:hAnsi="Noto Sans Symbols" w:cs="Noto Sans Symbols"/>
          <w:color w:val="E31E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KUPNÍ SMLOUVA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Nákup ICT zařízení 18/2024 (NB pro ZŠ a MŠ Družby) </w:t>
      </w:r>
    </w:p>
    <w:p w:rsidR="00DC2A31" w:rsidRDefault="00EC4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404999"/>
          <w:sz w:val="16"/>
          <w:szCs w:val="16"/>
        </w:rPr>
      </w:pP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Zakázka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»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SMK/157188/2024 </w:t>
      </w:r>
      <w:r>
        <w:rPr>
          <w:rFonts w:ascii="Arial Narrow" w:eastAsia="Arial Narrow" w:hAnsi="Arial Narrow" w:cs="Arial Narrow"/>
          <w:b/>
          <w:color w:val="404999"/>
          <w:sz w:val="16"/>
          <w:szCs w:val="16"/>
        </w:rPr>
        <w:t xml:space="preserve">strana 8 </w:t>
      </w:r>
      <w:r>
        <w:rPr>
          <w:rFonts w:ascii="Arial Narrow" w:eastAsia="Arial Narrow" w:hAnsi="Arial Narrow" w:cs="Arial Narrow"/>
          <w:color w:val="E31E24"/>
          <w:sz w:val="16"/>
          <w:szCs w:val="16"/>
        </w:rPr>
        <w:t xml:space="preserve">| </w:t>
      </w:r>
      <w:r>
        <w:rPr>
          <w:rFonts w:ascii="Arial Narrow" w:eastAsia="Arial Narrow" w:hAnsi="Arial Narrow" w:cs="Arial Narrow"/>
          <w:color w:val="404999"/>
          <w:sz w:val="16"/>
          <w:szCs w:val="16"/>
        </w:rPr>
        <w:t xml:space="preserve">celkem 8 </w:t>
      </w:r>
    </w:p>
    <w:sectPr w:rsidR="00DC2A31">
      <w:type w:val="continuous"/>
      <w:pgSz w:w="11900" w:h="16820"/>
      <w:pgMar w:top="271" w:right="427" w:bottom="316" w:left="710" w:header="0" w:footer="720" w:gutter="0"/>
      <w:cols w:space="708" w:equalWidth="0">
        <w:col w:w="1076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2394"/>
    <w:multiLevelType w:val="hybridMultilevel"/>
    <w:tmpl w:val="85A8F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31"/>
    <w:rsid w:val="00097C7E"/>
    <w:rsid w:val="00377363"/>
    <w:rsid w:val="008A1D5C"/>
    <w:rsid w:val="008D7866"/>
    <w:rsid w:val="00C1000A"/>
    <w:rsid w:val="00D06271"/>
    <w:rsid w:val="00D75741"/>
    <w:rsid w:val="00DC2A31"/>
    <w:rsid w:val="00EC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671B"/>
  <w15:docId w15:val="{2421AD56-59A1-48AB-9613-FA0555FE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1000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C1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3075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Pawlitová</dc:creator>
  <cp:lastModifiedBy>Daniela Pawlitová</cp:lastModifiedBy>
  <cp:revision>7</cp:revision>
  <dcterms:created xsi:type="dcterms:W3CDTF">2024-12-04T09:54:00Z</dcterms:created>
  <dcterms:modified xsi:type="dcterms:W3CDTF">2024-12-04T11:52:00Z</dcterms:modified>
</cp:coreProperties>
</file>