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73382D7E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6D2AAD" w14:textId="3D667273" w:rsidR="00116025" w:rsidRDefault="004A7EBB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LINET spol. s. r. o.</w:t>
                            </w:r>
                          </w:p>
                          <w:p w14:paraId="21A9F31F" w14:textId="569D2A8C" w:rsidR="00BA7103" w:rsidRDefault="004A7EBB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Tahoma"/>
                                <w:szCs w:val="22"/>
                              </w:rPr>
                              <w:t>Želevčice</w:t>
                            </w:r>
                            <w:proofErr w:type="spellEnd"/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 </w:t>
                            </w:r>
                            <w:r w:rsidR="00BA7103">
                              <w:rPr>
                                <w:rFonts w:cs="Tahom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Cs w:val="22"/>
                              </w:rPr>
                              <w:t>5</w:t>
                            </w:r>
                            <w:proofErr w:type="gramEnd"/>
                          </w:p>
                          <w:p w14:paraId="1A1091AE" w14:textId="6AB503FA" w:rsidR="00BA7103" w:rsidRDefault="004A7EBB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274</w:t>
                            </w:r>
                            <w:r w:rsidR="00BA7103">
                              <w:rPr>
                                <w:rFonts w:cs="Tahom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Cs w:val="22"/>
                              </w:rPr>
                              <w:t>01</w:t>
                            </w:r>
                            <w:r w:rsidR="00BA7103">
                              <w:rPr>
                                <w:rFonts w:cs="Tahom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Cs w:val="22"/>
                              </w:rPr>
                              <w:t>Slaný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556D2AAD" w14:textId="3D667273" w:rsidR="00116025" w:rsidRDefault="004A7EBB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LINET spol. s. r. o.</w:t>
                      </w:r>
                    </w:p>
                    <w:p w14:paraId="21A9F31F" w14:textId="569D2A8C" w:rsidR="00BA7103" w:rsidRDefault="004A7EBB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Tahoma"/>
                          <w:szCs w:val="22"/>
                        </w:rPr>
                        <w:t>Želevčice</w:t>
                      </w:r>
                      <w:proofErr w:type="spellEnd"/>
                      <w:r>
                        <w:rPr>
                          <w:rFonts w:cs="Tahoma"/>
                          <w:szCs w:val="22"/>
                        </w:rPr>
                        <w:t xml:space="preserve"> </w:t>
                      </w:r>
                      <w:r w:rsidR="00BA7103">
                        <w:rPr>
                          <w:rFonts w:cs="Tahoma"/>
                          <w:szCs w:val="22"/>
                        </w:rPr>
                        <w:t xml:space="preserve"> </w:t>
                      </w:r>
                      <w:r>
                        <w:rPr>
                          <w:rFonts w:cs="Tahoma"/>
                          <w:szCs w:val="22"/>
                        </w:rPr>
                        <w:t>5</w:t>
                      </w:r>
                      <w:proofErr w:type="gramEnd"/>
                    </w:p>
                    <w:p w14:paraId="1A1091AE" w14:textId="6AB503FA" w:rsidR="00BA7103" w:rsidRDefault="004A7EBB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274</w:t>
                      </w:r>
                      <w:r w:rsidR="00BA7103">
                        <w:rPr>
                          <w:rFonts w:cs="Tahoma"/>
                          <w:szCs w:val="22"/>
                        </w:rPr>
                        <w:t xml:space="preserve"> </w:t>
                      </w:r>
                      <w:r>
                        <w:rPr>
                          <w:rFonts w:cs="Tahoma"/>
                          <w:szCs w:val="22"/>
                        </w:rPr>
                        <w:t>01</w:t>
                      </w:r>
                      <w:r w:rsidR="00BA7103">
                        <w:rPr>
                          <w:rFonts w:cs="Tahoma"/>
                          <w:szCs w:val="22"/>
                        </w:rPr>
                        <w:t xml:space="preserve"> </w:t>
                      </w:r>
                      <w:r>
                        <w:rPr>
                          <w:rFonts w:cs="Tahoma"/>
                          <w:szCs w:val="22"/>
                        </w:rPr>
                        <w:t>Slaný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DA2FCA">
        <w:rPr>
          <w:rFonts w:cs="Tahoma"/>
          <w:sz w:val="20"/>
        </w:rPr>
        <w:t>ZDR</w:t>
      </w:r>
      <w:r w:rsidR="00C8468D">
        <w:rPr>
          <w:rFonts w:cs="Tahoma"/>
          <w:sz w:val="20"/>
        </w:rPr>
        <w:t>/</w:t>
      </w:r>
      <w:r w:rsidR="004A7EBB">
        <w:rPr>
          <w:rFonts w:cs="Tahoma"/>
          <w:sz w:val="20"/>
        </w:rPr>
        <w:t>43</w:t>
      </w:r>
      <w:r w:rsidR="00E379C0">
        <w:rPr>
          <w:rFonts w:cs="Tahoma"/>
          <w:sz w:val="20"/>
        </w:rPr>
        <w:t>/2</w:t>
      </w:r>
      <w:r w:rsidR="00567BBC">
        <w:rPr>
          <w:rFonts w:cs="Tahoma"/>
          <w:sz w:val="20"/>
        </w:rPr>
        <w:t>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44898559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ab/>
      </w:r>
    </w:p>
    <w:p w14:paraId="2073F26C" w14:textId="6ACD7149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667FE212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238D1A31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4A7EBB">
        <w:rPr>
          <w:rFonts w:cs="Tahoma"/>
          <w:sz w:val="20"/>
        </w:rPr>
        <w:t>2.12</w:t>
      </w:r>
      <w:r w:rsidR="00BA7103">
        <w:rPr>
          <w:rFonts w:cs="Tahoma"/>
          <w:sz w:val="20"/>
        </w:rPr>
        <w:t>.</w:t>
      </w:r>
      <w:r w:rsidR="00567BBC">
        <w:rPr>
          <w:rFonts w:cs="Tahoma"/>
          <w:sz w:val="20"/>
        </w:rPr>
        <w:t>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39C68035" w14:textId="4184EC35" w:rsidR="00116025" w:rsidRPr="00991D1A" w:rsidRDefault="00976C80" w:rsidP="00991D1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Skříň</w:t>
      </w:r>
      <w:r w:rsidR="00991D1A">
        <w:rPr>
          <w:rFonts w:cs="Tahoma"/>
          <w:b/>
          <w:sz w:val="20"/>
        </w:rPr>
        <w:t xml:space="preserve"> na léky V </w:t>
      </w:r>
      <w:proofErr w:type="gramStart"/>
      <w:r w:rsidR="00991D1A">
        <w:rPr>
          <w:rFonts w:cs="Tahoma"/>
          <w:b/>
          <w:sz w:val="20"/>
        </w:rPr>
        <w:t>12 – 3</w:t>
      </w:r>
      <w:proofErr w:type="gramEnd"/>
      <w:r w:rsidR="00991D1A">
        <w:rPr>
          <w:rFonts w:cs="Tahoma"/>
          <w:b/>
          <w:sz w:val="20"/>
        </w:rPr>
        <w:t xml:space="preserve"> kusy, </w:t>
      </w:r>
      <w:r w:rsidR="00991D1A" w:rsidRPr="00991D1A">
        <w:rPr>
          <w:rFonts w:cs="Tahoma"/>
          <w:bCs/>
          <w:sz w:val="20"/>
        </w:rPr>
        <w:t>včetně vybavení</w:t>
      </w:r>
      <w:r w:rsidR="00991D1A">
        <w:rPr>
          <w:rFonts w:cs="Tahoma"/>
          <w:bCs/>
          <w:sz w:val="20"/>
        </w:rPr>
        <w:t>, montáže a dopravy,</w:t>
      </w:r>
      <w:r w:rsidR="00991D1A" w:rsidRPr="00991D1A">
        <w:rPr>
          <w:rFonts w:cs="Tahoma"/>
          <w:bCs/>
          <w:sz w:val="20"/>
        </w:rPr>
        <w:t xml:space="preserve"> dle </w:t>
      </w:r>
      <w:r w:rsidR="00991D1A">
        <w:rPr>
          <w:rFonts w:cs="Tahoma"/>
          <w:bCs/>
          <w:sz w:val="20"/>
        </w:rPr>
        <w:t xml:space="preserve">Vaší </w:t>
      </w:r>
      <w:r w:rsidR="00991D1A" w:rsidRPr="00991D1A">
        <w:rPr>
          <w:rFonts w:cs="Tahoma"/>
          <w:bCs/>
          <w:sz w:val="20"/>
        </w:rPr>
        <w:t>cenové nabídky</w:t>
      </w:r>
    </w:p>
    <w:p w14:paraId="4C06DF3B" w14:textId="77777777" w:rsidR="004549F2" w:rsidRDefault="004549F2" w:rsidP="007215E9">
      <w:pPr>
        <w:suppressAutoHyphens w:val="0"/>
        <w:spacing w:before="0"/>
        <w:rPr>
          <w:rFonts w:cs="Tahoma"/>
          <w:b/>
          <w:sz w:val="20"/>
        </w:rPr>
      </w:pP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4B8516BC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646D6D">
        <w:rPr>
          <w:rFonts w:cs="Tahoma"/>
          <w:b/>
          <w:sz w:val="20"/>
        </w:rPr>
        <w:tab/>
      </w:r>
      <w:r w:rsidR="000466EA">
        <w:rPr>
          <w:rFonts w:cs="Tahoma"/>
          <w:b/>
          <w:sz w:val="20"/>
        </w:rPr>
        <w:t xml:space="preserve"> </w:t>
      </w:r>
      <w:r w:rsidR="00991D1A">
        <w:rPr>
          <w:rFonts w:cs="Tahoma"/>
          <w:b/>
          <w:sz w:val="20"/>
        </w:rPr>
        <w:t>137 189,80 Kč</w:t>
      </w:r>
      <w:r w:rsidR="00116025">
        <w:rPr>
          <w:rFonts w:cs="Tahoma"/>
          <w:b/>
          <w:sz w:val="20"/>
        </w:rPr>
        <w:t xml:space="preserve"> včetně DPH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31F91BD9" w:rsidR="00970B11" w:rsidRPr="007A4C29" w:rsidRDefault="007A4C29" w:rsidP="00DB3C38">
      <w:pPr>
        <w:rPr>
          <w:rFonts w:cs="Tahoma"/>
          <w:b/>
          <w:bCs/>
          <w:i/>
          <w:iCs/>
          <w:sz w:val="20"/>
        </w:rPr>
      </w:pPr>
      <w:r w:rsidRPr="007A4C29">
        <w:rPr>
          <w:rFonts w:cs="Tahoma"/>
          <w:b/>
          <w:bCs/>
          <w:i/>
          <w:iCs/>
          <w:sz w:val="20"/>
        </w:rPr>
        <w:t>„Objednávka akceptována dodavatelem telefonicky 02.12.2024“</w:t>
      </w:r>
      <w:r w:rsidR="007215E9" w:rsidRPr="007A4C29">
        <w:rPr>
          <w:rFonts w:cs="Tahoma"/>
          <w:b/>
          <w:bCs/>
          <w:i/>
          <w:iCs/>
          <w:sz w:val="20"/>
        </w:rPr>
        <w:t xml:space="preserve"> </w:t>
      </w:r>
    </w:p>
    <w:sectPr w:rsidR="00970B11" w:rsidRPr="007A4C29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742D" w14:textId="77777777" w:rsidR="00406189" w:rsidRDefault="00406189">
      <w:pPr>
        <w:spacing w:before="0"/>
      </w:pPr>
      <w:r>
        <w:separator/>
      </w:r>
    </w:p>
  </w:endnote>
  <w:endnote w:type="continuationSeparator" w:id="0">
    <w:p w14:paraId="0029E885" w14:textId="77777777" w:rsidR="00406189" w:rsidRDefault="004061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4DC7" w14:textId="77777777" w:rsidR="00406189" w:rsidRDefault="00406189">
      <w:pPr>
        <w:spacing w:before="0"/>
      </w:pPr>
      <w:r>
        <w:separator/>
      </w:r>
    </w:p>
  </w:footnote>
  <w:footnote w:type="continuationSeparator" w:id="0">
    <w:p w14:paraId="12DF248A" w14:textId="77777777" w:rsidR="00406189" w:rsidRDefault="004061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77777777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Záhumenní 562/16,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2572"/>
    <w:multiLevelType w:val="hybridMultilevel"/>
    <w:tmpl w:val="5CFEF8E4"/>
    <w:lvl w:ilvl="0" w:tplc="DA84827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5"/>
  </w:num>
  <w:num w:numId="2" w16cid:durableId="901327746">
    <w:abstractNumId w:val="4"/>
  </w:num>
  <w:num w:numId="3" w16cid:durableId="1301885322">
    <w:abstractNumId w:val="3"/>
  </w:num>
  <w:num w:numId="4" w16cid:durableId="1766539614">
    <w:abstractNumId w:val="0"/>
  </w:num>
  <w:num w:numId="5" w16cid:durableId="1542014767">
    <w:abstractNumId w:val="2"/>
  </w:num>
  <w:num w:numId="6" w16cid:durableId="200589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20D78"/>
    <w:rsid w:val="000466EA"/>
    <w:rsid w:val="0007652C"/>
    <w:rsid w:val="00096316"/>
    <w:rsid w:val="000A0259"/>
    <w:rsid w:val="000A5CFF"/>
    <w:rsid w:val="00116025"/>
    <w:rsid w:val="001A0317"/>
    <w:rsid w:val="001A61D7"/>
    <w:rsid w:val="001C5E93"/>
    <w:rsid w:val="00292D39"/>
    <w:rsid w:val="002B7022"/>
    <w:rsid w:val="00307F15"/>
    <w:rsid w:val="00353DFF"/>
    <w:rsid w:val="00371E9A"/>
    <w:rsid w:val="003C3919"/>
    <w:rsid w:val="003E24B3"/>
    <w:rsid w:val="003F0CA5"/>
    <w:rsid w:val="00406189"/>
    <w:rsid w:val="00420E4F"/>
    <w:rsid w:val="00430A1A"/>
    <w:rsid w:val="004549F2"/>
    <w:rsid w:val="004A7EBB"/>
    <w:rsid w:val="004C123B"/>
    <w:rsid w:val="004F6D87"/>
    <w:rsid w:val="005014A6"/>
    <w:rsid w:val="0050389B"/>
    <w:rsid w:val="00517F83"/>
    <w:rsid w:val="00567BBC"/>
    <w:rsid w:val="005844CF"/>
    <w:rsid w:val="005B5DBB"/>
    <w:rsid w:val="005E2AB8"/>
    <w:rsid w:val="0060398C"/>
    <w:rsid w:val="00621DD1"/>
    <w:rsid w:val="00646D6D"/>
    <w:rsid w:val="00676136"/>
    <w:rsid w:val="006C4C64"/>
    <w:rsid w:val="007215E9"/>
    <w:rsid w:val="00732948"/>
    <w:rsid w:val="00742150"/>
    <w:rsid w:val="00770304"/>
    <w:rsid w:val="007A4C29"/>
    <w:rsid w:val="007A7A55"/>
    <w:rsid w:val="00802E52"/>
    <w:rsid w:val="008035A9"/>
    <w:rsid w:val="008265FF"/>
    <w:rsid w:val="00886161"/>
    <w:rsid w:val="00970B11"/>
    <w:rsid w:val="00976C80"/>
    <w:rsid w:val="00985859"/>
    <w:rsid w:val="00987F50"/>
    <w:rsid w:val="00991D1A"/>
    <w:rsid w:val="009B52E1"/>
    <w:rsid w:val="009F1596"/>
    <w:rsid w:val="00A73EF8"/>
    <w:rsid w:val="00B947F9"/>
    <w:rsid w:val="00B94FEC"/>
    <w:rsid w:val="00BA6F3E"/>
    <w:rsid w:val="00BA7103"/>
    <w:rsid w:val="00BB443B"/>
    <w:rsid w:val="00C54909"/>
    <w:rsid w:val="00C66DE0"/>
    <w:rsid w:val="00C8272C"/>
    <w:rsid w:val="00C8468D"/>
    <w:rsid w:val="00CD5D1F"/>
    <w:rsid w:val="00D60CBC"/>
    <w:rsid w:val="00DA2FCA"/>
    <w:rsid w:val="00DB3C38"/>
    <w:rsid w:val="00DE569B"/>
    <w:rsid w:val="00E075C0"/>
    <w:rsid w:val="00E07797"/>
    <w:rsid w:val="00E07F77"/>
    <w:rsid w:val="00E379C0"/>
    <w:rsid w:val="00E43946"/>
    <w:rsid w:val="00EA3802"/>
    <w:rsid w:val="00EB32C9"/>
    <w:rsid w:val="00F02183"/>
    <w:rsid w:val="00F15AD1"/>
    <w:rsid w:val="00F205CC"/>
    <w:rsid w:val="00F3508B"/>
    <w:rsid w:val="00F82930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Ekonom</cp:lastModifiedBy>
  <cp:revision>2</cp:revision>
  <cp:lastPrinted>2024-12-02T14:45:00Z</cp:lastPrinted>
  <dcterms:created xsi:type="dcterms:W3CDTF">2024-12-02T14:47:00Z</dcterms:created>
  <dcterms:modified xsi:type="dcterms:W3CDTF">2024-12-02T14:47:00Z</dcterms:modified>
  <dc:language>cs-CZ</dc:language>
</cp:coreProperties>
</file>